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16596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45C180FC">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7A761442">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hint="eastAsia" w:ascii="黑体" w:hAnsi="黑体" w:eastAsia="黑体"/>
                <w:sz w:val="21"/>
                <w:szCs w:val="21"/>
              </w:rPr>
              <w:t>65.020.30</w:t>
            </w:r>
          </w:p>
        </w:tc>
      </w:tr>
      <w:tr w14:paraId="7758B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AEEE64C">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7B78A4E8">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42E8B405">
                  <w:pPr>
                    <w:pStyle w:val="49"/>
                    <w:framePr w:wrap="notBeside" w:vAnchor="page" w:hAnchor="page" w:x="1372" w:y="568"/>
                    <w:ind w:left="420" w:right="624"/>
                    <w:rPr>
                      <w:rFonts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0" w:name="c1"/>
                  <w:r>
                    <w:instrText xml:space="preserve"> FORMTEXT </w:instrText>
                  </w:r>
                  <w:r>
                    <w:fldChar w:fldCharType="separate"/>
                  </w:r>
                  <w:r>
                    <w:rPr>
                      <w:rFonts w:hint="eastAsia"/>
                    </w:rPr>
                    <w:t>GXAS</w:t>
                  </w:r>
                  <w:r>
                    <w:t> </w:t>
                  </w:r>
                  <w:r>
                    <w:fldChar w:fldCharType="end"/>
                  </w:r>
                  <w:bookmarkEnd w:id="0"/>
                </w:p>
              </w:tc>
            </w:tr>
          </w:tbl>
          <w:p w14:paraId="7AAC6D8C">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hint="eastAsia" w:ascii="黑体" w:hAnsi="黑体" w:eastAsia="黑体"/>
                <w:sz w:val="21"/>
                <w:szCs w:val="21"/>
              </w:rPr>
              <w:t>B 00/09</w:t>
            </w:r>
          </w:p>
        </w:tc>
      </w:tr>
    </w:tbl>
    <w:p w14:paraId="2BF137A7">
      <w:pPr>
        <w:pStyle w:val="50"/>
        <w:framePr w:w="9639" w:h="624" w:hRule="exact" w:hSpace="181" w:vSpace="181" w:wrap="around" w:hAnchor="page" w:x="1305" w:y="2269"/>
        <w:rPr>
          <w:rFonts w:ascii="黑体" w:hAnsi="黑体" w:eastAsia="黑体"/>
          <w:b w:val="0"/>
          <w:bCs w:val="0"/>
          <w:w w:val="100"/>
          <w:sz w:val="48"/>
          <w:szCs w:val="48"/>
        </w:rPr>
      </w:pPr>
      <w:bookmarkStart w:id="1" w:name="_Hlk26473981"/>
      <w:r>
        <w:rPr>
          <w:rFonts w:hint="eastAsia" w:ascii="黑体" w:eastAsia="黑体"/>
          <w:b w:val="0"/>
          <w:w w:val="100"/>
          <w:sz w:val="48"/>
        </w:rPr>
        <w:t>团体</w:t>
      </w:r>
      <w:r>
        <w:rPr>
          <w:rFonts w:hint="eastAsia" w:ascii="黑体" w:hAnsi="黑体" w:eastAsia="黑体"/>
          <w:b w:val="0"/>
          <w:bCs w:val="0"/>
          <w:w w:val="100"/>
          <w:sz w:val="48"/>
          <w:szCs w:val="48"/>
        </w:rPr>
        <w:t>标准</w:t>
      </w:r>
    </w:p>
    <w:bookmarkEnd w:id="1"/>
    <w:p w14:paraId="2C6CCCC1">
      <w:pPr>
        <w:pStyle w:val="195"/>
      </w:pPr>
      <w:r>
        <w:t>T/</w:t>
      </w:r>
      <w:r>
        <w:fldChar w:fldCharType="begin">
          <w:ffData>
            <w:name w:val="文字1"/>
            <w:enabled/>
            <w:calcOnExit w:val="0"/>
            <w:textInput>
              <w:default w:val="XXX"/>
            </w:textInput>
          </w:ffData>
        </w:fldChar>
      </w:r>
      <w:bookmarkStart w:id="2" w:name="文字1"/>
      <w:r>
        <w:instrText xml:space="preserve"> FORMTEXT </w:instrText>
      </w:r>
      <w:r>
        <w:fldChar w:fldCharType="separate"/>
      </w:r>
      <w:r>
        <w:rPr>
          <w:rFonts w:hint="eastAsia"/>
        </w:rPr>
        <w:t>GXAS</w:t>
      </w:r>
      <w:r>
        <w:t> </w:t>
      </w:r>
      <w:r>
        <w:fldChar w:fldCharType="end"/>
      </w:r>
      <w:bookmarkEnd w:id="2"/>
      <w:r>
        <w:t xml:space="preserve"> </w:t>
      </w:r>
      <w:r>
        <w:fldChar w:fldCharType="begin">
          <w:ffData>
            <w:name w:val="NSTD_CODE_F"/>
            <w:enabled/>
            <w:calcOnExit w:val="0"/>
            <w:textInput>
              <w:default w:val="XXXX"/>
            </w:textInput>
          </w:ffData>
        </w:fldChar>
      </w:r>
      <w:bookmarkStart w:id="3" w:name="NSTD_CODE_F"/>
      <w:r>
        <w:instrText xml:space="preserve"> FORMTEXT </w:instrText>
      </w:r>
      <w:r>
        <w:fldChar w:fldCharType="separate"/>
      </w:r>
      <w:r>
        <w:t>XXXX</w:t>
      </w:r>
      <w:r>
        <w:fldChar w:fldCharType="end"/>
      </w:r>
      <w:bookmarkEnd w:id="3"/>
      <w:r>
        <w:rPr>
          <w:rFonts w:hAnsi="黑体"/>
        </w:rPr>
        <w:t>—</w:t>
      </w:r>
      <w:r>
        <w:rPr>
          <w:rFonts w:hint="eastAsia"/>
        </w:rPr>
        <w:t>2026</w:t>
      </w:r>
    </w:p>
    <w:p w14:paraId="409BF0EC">
      <w:pPr>
        <w:pStyle w:val="196"/>
        <w:rPr>
          <w:rFonts w:hAnsi="黑体"/>
        </w:rPr>
      </w:pPr>
      <w:r>
        <w:rPr>
          <w:rFonts w:hAnsi="黑体"/>
        </w:rPr>
        <w:fldChar w:fldCharType="begin">
          <w:ffData>
            <w:name w:val="OSTD_CODE"/>
            <w:enabled/>
            <w:calcOnExit w:val="0"/>
            <w:textInput/>
          </w:ffData>
        </w:fldChar>
      </w:r>
      <w:bookmarkStart w:id="4"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4"/>
    </w:p>
    <w:p w14:paraId="2D9EE319">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4445" r="0" b="5080"/>
                <wp:wrapNone/>
                <wp:docPr id="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直接连接符 73"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J4NJ&#10;ltgAAAAMAQAADwAAAAAAAAABACAAAAAiAAAAZHJzL2Rvd25yZXYueG1sUEsBAhQAFAAAAAgAh07i&#10;QDYFZrDpAQAAuQMAAA4AAAAAAAAAAQAgAAAAJwEAAGRycy9lMm9Eb2MueG1sUEsFBgAAAAAGAAYA&#10;WQEAAIIFAAAAAA==&#10;">
                <v:fill on="f" focussize="0,0"/>
                <v:stroke color="#000000" joinstyle="round"/>
                <v:imagedata o:title=""/>
                <o:lock v:ext="edit" aspectratio="f"/>
              </v:line>
            </w:pict>
          </mc:Fallback>
        </mc:AlternateContent>
      </w:r>
    </w:p>
    <w:p w14:paraId="23B3A2C9">
      <w:pPr>
        <w:pStyle w:val="50"/>
        <w:framePr w:w="9639" w:h="6976" w:hRule="exact" w:hSpace="0" w:vSpace="0" w:wrap="around" w:hAnchor="page" w:y="6408"/>
        <w:jc w:val="center"/>
        <w:rPr>
          <w:rFonts w:ascii="黑体" w:hAnsi="黑体" w:eastAsia="黑体"/>
          <w:b w:val="0"/>
          <w:bCs w:val="0"/>
          <w:w w:val="100"/>
        </w:rPr>
      </w:pPr>
    </w:p>
    <w:p w14:paraId="60D36A96">
      <w:pPr>
        <w:pStyle w:val="197"/>
        <w:framePr w:h="6974" w:hRule="exact" w:wrap="around" w:x="1419" w:anchorLock="1"/>
      </w:pPr>
      <w:r>
        <w:rPr>
          <w:rFonts w:hint="eastAsia"/>
        </w:rPr>
        <w:t xml:space="preserve">病原体高通量测序数据分析技术规范 </w:t>
      </w:r>
    </w:p>
    <w:p w14:paraId="5AC15F21">
      <w:pPr>
        <w:pStyle w:val="197"/>
        <w:framePr w:h="6974" w:hRule="exact" w:wrap="around" w:x="1419" w:anchorLock="1"/>
      </w:pPr>
      <w:r>
        <w:rPr>
          <w:rFonts w:hint="eastAsia"/>
        </w:rPr>
        <w:t>HPD - ki</w:t>
      </w:r>
      <w:bookmarkStart w:id="59" w:name="_GoBack"/>
      <w:bookmarkEnd w:id="59"/>
      <w:r>
        <w:rPr>
          <w:rFonts w:hint="eastAsia"/>
        </w:rPr>
        <w:t>t评分法</w:t>
      </w:r>
    </w:p>
    <w:p w14:paraId="61201DF5">
      <w:pPr>
        <w:framePr w:w="9639" w:h="6974" w:hRule="exact" w:wrap="around" w:vAnchor="page" w:hAnchor="page" w:x="1419" w:y="6408" w:anchorLock="1"/>
        <w:ind w:left="-1418"/>
      </w:pPr>
    </w:p>
    <w:p w14:paraId="3703D059">
      <w:pPr>
        <w:pStyle w:val="125"/>
        <w:framePr w:w="9639" w:h="6974" w:hRule="exact" w:wrap="around" w:vAnchor="page" w:hAnchor="page" w:x="1419" w:y="6408" w:anchorLock="1"/>
        <w:textAlignment w:val="bottom"/>
        <w:rPr>
          <w:rFonts w:hint="eastAsia" w:ascii="黑体" w:hAnsi="黑体" w:eastAsia="黑体" w:cs="黑体"/>
          <w:szCs w:val="28"/>
        </w:rPr>
      </w:pPr>
      <w:r>
        <w:rPr>
          <w:rFonts w:hint="eastAsia" w:ascii="黑体" w:hAnsi="黑体" w:eastAsia="黑体" w:cs="黑体"/>
          <w:szCs w:val="28"/>
        </w:rPr>
        <w:t>Technical specifications for data analysis of pathogen high-throughput sequencing—HPD-kit scoring method</w:t>
      </w:r>
    </w:p>
    <w:p w14:paraId="5C636876">
      <w:pPr>
        <w:framePr w:w="9639" w:h="6974" w:hRule="exact" w:wrap="around" w:vAnchor="page" w:hAnchor="page" w:x="1419" w:y="6408" w:anchorLock="1"/>
        <w:spacing w:line="760" w:lineRule="exact"/>
        <w:ind w:left="-1418"/>
      </w:pPr>
    </w:p>
    <w:p w14:paraId="75D45370">
      <w:pPr>
        <w:pStyle w:val="125"/>
        <w:framePr w:w="9639" w:h="6974" w:hRule="exact" w:wrap="around" w:vAnchor="page" w:hAnchor="page" w:x="1419" w:y="6408" w:anchorLock="1"/>
        <w:textAlignment w:val="bottom"/>
        <w:rPr>
          <w:rFonts w:eastAsia="黑体"/>
          <w:szCs w:val="28"/>
        </w:rPr>
      </w:pPr>
    </w:p>
    <w:p w14:paraId="491BD23B">
      <w:pPr>
        <w:pStyle w:val="125"/>
        <w:framePr w:w="9639" w:h="6974" w:hRule="exact" w:wrap="around" w:vAnchor="page" w:hAnchor="page" w:x="1419" w:y="6408" w:anchorLock="1"/>
        <w:spacing w:before="440" w:after="160"/>
        <w:textAlignment w:val="bottom"/>
        <w:rPr>
          <w:sz w:val="24"/>
          <w:szCs w:val="28"/>
        </w:rPr>
      </w:pPr>
      <w:r>
        <w:rPr>
          <w:rFonts w:hint="eastAsia"/>
          <w:sz w:val="24"/>
          <w:szCs w:val="28"/>
        </w:rPr>
        <w:t>征求意见稿</w:t>
      </w:r>
    </w:p>
    <w:p w14:paraId="4295FF22">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5"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5"/>
    </w:p>
    <w:p w14:paraId="3A3231E8">
      <w:pPr>
        <w:pStyle w:val="125"/>
        <w:framePr w:w="9639" w:h="6974" w:hRule="exact" w:wrap="around" w:vAnchor="page" w:hAnchor="page" w:x="1419" w:y="6408" w:anchorLock="1"/>
        <w:spacing w:beforeLines="300"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6" w:name="下拉2"/>
      <w:r>
        <w:rPr>
          <w:b/>
          <w:sz w:val="21"/>
          <w:szCs w:val="28"/>
        </w:rPr>
        <w:instrText xml:space="preserve"> FORMDROPDOWN </w:instrText>
      </w:r>
      <w:r>
        <w:rPr>
          <w:b/>
          <w:sz w:val="21"/>
          <w:szCs w:val="28"/>
        </w:rPr>
        <w:fldChar w:fldCharType="separate"/>
      </w:r>
      <w:r>
        <w:rPr>
          <w:b/>
          <w:sz w:val="21"/>
          <w:szCs w:val="28"/>
        </w:rPr>
        <w:fldChar w:fldCharType="end"/>
      </w:r>
      <w:bookmarkEnd w:id="6"/>
    </w:p>
    <w:p w14:paraId="438C2EBF">
      <w:pPr>
        <w:pStyle w:val="193"/>
        <w:framePr w:wrap="around" w:y="14176"/>
      </w:pPr>
      <w:r>
        <w:rPr>
          <w:rFonts w:ascii="黑体"/>
        </w:rPr>
        <w:fldChar w:fldCharType="begin">
          <w:ffData>
            <w:name w:val="PLSH_DATE_Y"/>
            <w:enabled/>
            <w:calcOnExit w:val="0"/>
            <w:textInput>
              <w:default w:val="XXXX"/>
              <w:maxLength w:val="4"/>
            </w:textInput>
          </w:ffData>
        </w:fldChar>
      </w:r>
      <w:bookmarkStart w:id="7"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7"/>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8"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8"/>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9"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9"/>
      <w:r>
        <w:rPr>
          <w:rFonts w:hint="eastAsia"/>
        </w:rPr>
        <w:t>发布</w:t>
      </w:r>
    </w:p>
    <w:p w14:paraId="4B0DA8FE">
      <w:pPr>
        <w:pStyle w:val="194"/>
        <w:framePr w:wrap="around" w:y="14176"/>
      </w:pPr>
      <w:r>
        <w:rPr>
          <w:rFonts w:ascii="黑体"/>
        </w:rPr>
        <w:fldChar w:fldCharType="begin">
          <w:ffData>
            <w:name w:val="CROT_DATE_Y"/>
            <w:enabled/>
            <w:calcOnExit w:val="0"/>
            <w:textInput>
              <w:default w:val="XXXX"/>
              <w:maxLength w:val="4"/>
            </w:textInput>
          </w:ffData>
        </w:fldChar>
      </w:r>
      <w:bookmarkStart w:id="10"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0"/>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1"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1"/>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2"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2"/>
      <w:r>
        <w:rPr>
          <w:rFonts w:hint="eastAsia"/>
        </w:rPr>
        <w:t>实施</w:t>
      </w:r>
    </w:p>
    <w:p w14:paraId="660D7EED">
      <w:pPr>
        <w:pStyle w:val="151"/>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13"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int="eastAsia" w:hAnsi="黑体"/>
          <w:w w:val="100"/>
          <w:sz w:val="28"/>
        </w:rPr>
        <w:t>广西标准化协会</w:t>
      </w:r>
      <w:r>
        <w:rPr>
          <w:rFonts w:hAnsi="黑体"/>
          <w:w w:val="100"/>
          <w:sz w:val="28"/>
        </w:rPr>
        <w:t> </w:t>
      </w:r>
      <w:r>
        <w:rPr>
          <w:rFonts w:hAnsi="黑体"/>
          <w:w w:val="100"/>
          <w:sz w:val="28"/>
        </w:rPr>
        <w:fldChar w:fldCharType="end"/>
      </w:r>
      <w:bookmarkEnd w:id="13"/>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7A1E2BE7">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4445" r="0" b="5080"/>
                <wp:wrapNone/>
                <wp:docPr id="4"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w:pict>
              <v:line id="直接连接符 5"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szHPvX&#10;AAAADgEAAA8AAAAAAAAAAQAgAAAAIgAAAGRycy9kb3ducmV2LnhtbFBLAQIUABQAAAAIAIdO4kBS&#10;jbbN6AEAALgDAAAOAAAAAAAAAAEAIAAAACYBAABkcnMvZTJvRG9jLnhtbFBLBQYAAAAABgAGAFkB&#10;AACABQAAAAA=&#10;">
                <v:fill on="f" focussize="0,0"/>
                <v:stroke color="#000000" joinstyle="round"/>
                <v:imagedata o:title=""/>
                <o:lock v:ext="edit" aspectratio="f"/>
                <w10:anchorlock/>
              </v:line>
            </w:pict>
          </mc:Fallback>
        </mc:AlternateContent>
      </w:r>
    </w:p>
    <w:p w14:paraId="77FD1E2C">
      <w:pPr>
        <w:spacing w:line="20" w:lineRule="exact"/>
        <w:jc w:val="center"/>
        <w:rPr>
          <w:rFonts w:ascii="黑体" w:hAnsi="黑体" w:eastAsia="黑体"/>
          <w:sz w:val="32"/>
          <w:szCs w:val="32"/>
        </w:rPr>
      </w:pPr>
      <w:bookmarkStart w:id="14" w:name="BookMark4"/>
    </w:p>
    <w:p w14:paraId="641509D6"/>
    <w:p w14:paraId="1AB09DBA">
      <w:pPr>
        <w:tabs>
          <w:tab w:val="left" w:pos="743"/>
        </w:tabs>
        <w:jc w:val="left"/>
        <w:rPr>
          <w:rStyle w:val="29"/>
          <w:rFonts w:ascii="黑体" w:hAnsi="黑体" w:cs="黑体"/>
          <w:b w:val="0"/>
          <w:bCs w:val="0"/>
          <w:sz w:val="32"/>
          <w:szCs w:val="32"/>
        </w:rPr>
      </w:pPr>
    </w:p>
    <w:sdt>
      <w:sdtPr>
        <w:rPr>
          <w:rFonts w:hint="eastAsia" w:ascii="黑体" w:hAnsi="黑体" w:eastAsia="黑体" w:cs="黑体"/>
          <w:b/>
          <w:bCs/>
        </w:rPr>
        <w:id w:val="147453072"/>
        <w:docPartObj>
          <w:docPartGallery w:val="Table of Contents"/>
          <w:docPartUnique/>
        </w:docPartObj>
      </w:sdtPr>
      <w:sdtEndPr>
        <w:rPr>
          <w:rFonts w:hint="eastAsia" w:ascii="Calibri" w:hAnsi="Calibri" w:eastAsia="宋体" w:cs="Times New Roman"/>
          <w:b/>
          <w:bCs/>
        </w:rPr>
      </w:sdtEndPr>
      <w:sdtContent>
        <w:p w14:paraId="00B4DE3E">
          <w:pPr>
            <w:spacing w:line="240" w:lineRule="auto"/>
            <w:jc w:val="center"/>
            <w:rPr>
              <w:rFonts w:ascii="黑体" w:hAnsi="黑体" w:eastAsia="黑体" w:cs="黑体"/>
            </w:rPr>
          </w:pPr>
          <w:r>
            <w:rPr>
              <w:rFonts w:hint="eastAsia" w:ascii="黑体" w:hAnsi="黑体" w:eastAsia="黑体" w:cs="黑体"/>
            </w:rPr>
            <w:t>目   录</w:t>
          </w:r>
        </w:p>
        <w:p w14:paraId="05BC8227">
          <w:pPr>
            <w:pStyle w:val="19"/>
            <w:tabs>
              <w:tab w:val="right" w:leader="dot" w:pos="9354"/>
            </w:tabs>
            <w:rPr>
              <w:rFonts w:hAnsi="宋体" w:cs="宋体"/>
            </w:rPr>
          </w:pPr>
          <w:r>
            <w:rPr>
              <w:rFonts w:hint="eastAsia" w:hAnsi="宋体" w:cs="宋体"/>
            </w:rPr>
            <w:fldChar w:fldCharType="begin"/>
          </w:r>
          <w:r>
            <w:rPr>
              <w:rFonts w:hint="eastAsia" w:hAnsi="宋体" w:cs="宋体"/>
            </w:rPr>
            <w:instrText xml:space="preserve">TOC \o "1-2" \h \u </w:instrText>
          </w:r>
          <w:r>
            <w:rPr>
              <w:rFonts w:hint="eastAsia" w:hAnsi="宋体" w:cs="宋体"/>
            </w:rPr>
            <w:fldChar w:fldCharType="separate"/>
          </w:r>
          <w:r>
            <w:fldChar w:fldCharType="begin"/>
          </w:r>
          <w:r>
            <w:instrText xml:space="preserve"> HYPERLINK \l "_Toc7516" </w:instrText>
          </w:r>
          <w:r>
            <w:fldChar w:fldCharType="separate"/>
          </w:r>
          <w:r>
            <w:rPr>
              <w:rFonts w:hint="eastAsia" w:hAnsi="宋体" w:cs="宋体"/>
              <w:szCs w:val="32"/>
            </w:rPr>
            <w:t>前    言</w:t>
          </w:r>
          <w:r>
            <w:rPr>
              <w:rFonts w:hint="eastAsia" w:hAnsi="宋体" w:cs="宋体"/>
            </w:rPr>
            <w:tab/>
          </w:r>
          <w:r>
            <w:rPr>
              <w:rFonts w:hint="eastAsia" w:hAnsi="宋体" w:cs="宋体"/>
            </w:rPr>
            <w:t>Ⅱ</w:t>
          </w:r>
          <w:r>
            <w:rPr>
              <w:rFonts w:hint="eastAsia" w:hAnsi="宋体" w:cs="宋体"/>
            </w:rPr>
            <w:fldChar w:fldCharType="end"/>
          </w:r>
        </w:p>
        <w:p w14:paraId="1A373ABD">
          <w:pPr>
            <w:pStyle w:val="19"/>
            <w:tabs>
              <w:tab w:val="right" w:leader="dot" w:pos="9354"/>
            </w:tabs>
            <w:rPr>
              <w:rFonts w:hAnsi="宋体" w:cs="宋体"/>
            </w:rPr>
          </w:pPr>
          <w:r>
            <w:fldChar w:fldCharType="begin"/>
          </w:r>
          <w:r>
            <w:instrText xml:space="preserve"> HYPERLINK \l "_Toc20261" </w:instrText>
          </w:r>
          <w:r>
            <w:fldChar w:fldCharType="separate"/>
          </w:r>
          <w:r>
            <w:rPr>
              <w:rFonts w:hint="eastAsia" w:hAnsi="宋体" w:cs="宋体"/>
            </w:rPr>
            <w:t>1 范围</w:t>
          </w:r>
          <w:r>
            <w:rPr>
              <w:rFonts w:hint="eastAsia" w:hAnsi="宋体" w:cs="宋体"/>
            </w:rPr>
            <w:tab/>
          </w:r>
          <w:r>
            <w:rPr>
              <w:rFonts w:hint="eastAsia" w:hAnsi="宋体" w:cs="宋体"/>
            </w:rPr>
            <w:fldChar w:fldCharType="begin"/>
          </w:r>
          <w:r>
            <w:rPr>
              <w:rFonts w:hint="eastAsia" w:hAnsi="宋体" w:cs="宋体"/>
            </w:rPr>
            <w:instrText xml:space="preserve"> PAGEREF _Toc20261 \h </w:instrText>
          </w:r>
          <w:r>
            <w:rPr>
              <w:rFonts w:hint="eastAsia" w:hAnsi="宋体" w:cs="宋体"/>
            </w:rPr>
            <w:fldChar w:fldCharType="separate"/>
          </w:r>
          <w:r>
            <w:rPr>
              <w:rFonts w:hint="eastAsia" w:hAnsi="宋体" w:cs="宋体"/>
            </w:rPr>
            <w:t>1</w:t>
          </w:r>
          <w:r>
            <w:rPr>
              <w:rFonts w:hint="eastAsia" w:hAnsi="宋体" w:cs="宋体"/>
            </w:rPr>
            <w:fldChar w:fldCharType="end"/>
          </w:r>
          <w:r>
            <w:rPr>
              <w:rFonts w:hint="eastAsia" w:hAnsi="宋体" w:cs="宋体"/>
            </w:rPr>
            <w:fldChar w:fldCharType="end"/>
          </w:r>
        </w:p>
        <w:p w14:paraId="6256902A">
          <w:pPr>
            <w:pStyle w:val="19"/>
            <w:tabs>
              <w:tab w:val="right" w:leader="dot" w:pos="9354"/>
            </w:tabs>
            <w:rPr>
              <w:rFonts w:hAnsi="宋体" w:cs="宋体"/>
            </w:rPr>
          </w:pPr>
          <w:r>
            <w:fldChar w:fldCharType="begin"/>
          </w:r>
          <w:r>
            <w:instrText xml:space="preserve"> HYPERLINK \l "_Toc31833" </w:instrText>
          </w:r>
          <w:r>
            <w:fldChar w:fldCharType="separate"/>
          </w:r>
          <w:r>
            <w:rPr>
              <w:rFonts w:hint="eastAsia" w:hAnsi="宋体" w:cs="宋体"/>
            </w:rPr>
            <w:t>2 规范性引用文件</w:t>
          </w:r>
          <w:r>
            <w:rPr>
              <w:rFonts w:hint="eastAsia" w:hAnsi="宋体" w:cs="宋体"/>
            </w:rPr>
            <w:tab/>
          </w:r>
          <w:r>
            <w:rPr>
              <w:rFonts w:hint="eastAsia" w:hAnsi="宋体" w:cs="宋体"/>
            </w:rPr>
            <w:fldChar w:fldCharType="begin"/>
          </w:r>
          <w:r>
            <w:rPr>
              <w:rFonts w:hint="eastAsia" w:hAnsi="宋体" w:cs="宋体"/>
            </w:rPr>
            <w:instrText xml:space="preserve"> PAGEREF _Toc31833 \h </w:instrText>
          </w:r>
          <w:r>
            <w:rPr>
              <w:rFonts w:hint="eastAsia" w:hAnsi="宋体" w:cs="宋体"/>
            </w:rPr>
            <w:fldChar w:fldCharType="separate"/>
          </w:r>
          <w:r>
            <w:rPr>
              <w:rFonts w:hint="eastAsia" w:hAnsi="宋体" w:cs="宋体"/>
            </w:rPr>
            <w:t>1</w:t>
          </w:r>
          <w:r>
            <w:rPr>
              <w:rFonts w:hint="eastAsia" w:hAnsi="宋体" w:cs="宋体"/>
            </w:rPr>
            <w:fldChar w:fldCharType="end"/>
          </w:r>
          <w:r>
            <w:rPr>
              <w:rFonts w:hint="eastAsia" w:hAnsi="宋体" w:cs="宋体"/>
            </w:rPr>
            <w:fldChar w:fldCharType="end"/>
          </w:r>
        </w:p>
        <w:p w14:paraId="48D8F7DE">
          <w:pPr>
            <w:pStyle w:val="19"/>
            <w:tabs>
              <w:tab w:val="right" w:leader="dot" w:pos="9354"/>
            </w:tabs>
            <w:rPr>
              <w:rFonts w:hAnsi="宋体" w:cs="宋体"/>
            </w:rPr>
          </w:pPr>
          <w:r>
            <w:fldChar w:fldCharType="begin"/>
          </w:r>
          <w:r>
            <w:instrText xml:space="preserve"> HYPERLINK \l "_Toc21888" </w:instrText>
          </w:r>
          <w:r>
            <w:fldChar w:fldCharType="separate"/>
          </w:r>
          <w:r>
            <w:rPr>
              <w:rFonts w:hint="eastAsia" w:hAnsi="宋体" w:cs="宋体"/>
            </w:rPr>
            <w:t>3 术语和定义</w:t>
          </w:r>
          <w:r>
            <w:rPr>
              <w:rFonts w:hint="eastAsia" w:hAnsi="宋体" w:cs="宋体"/>
            </w:rPr>
            <w:tab/>
          </w:r>
          <w:r>
            <w:rPr>
              <w:rFonts w:hint="eastAsia" w:hAnsi="宋体" w:cs="宋体"/>
            </w:rPr>
            <w:fldChar w:fldCharType="begin"/>
          </w:r>
          <w:r>
            <w:rPr>
              <w:rFonts w:hint="eastAsia" w:hAnsi="宋体" w:cs="宋体"/>
            </w:rPr>
            <w:instrText xml:space="preserve"> PAGEREF _Toc21888 \h </w:instrText>
          </w:r>
          <w:r>
            <w:rPr>
              <w:rFonts w:hint="eastAsia" w:hAnsi="宋体" w:cs="宋体"/>
            </w:rPr>
            <w:fldChar w:fldCharType="separate"/>
          </w:r>
          <w:r>
            <w:rPr>
              <w:rFonts w:hint="eastAsia" w:hAnsi="宋体" w:cs="宋体"/>
            </w:rPr>
            <w:t>1</w:t>
          </w:r>
          <w:r>
            <w:rPr>
              <w:rFonts w:hint="eastAsia" w:hAnsi="宋体" w:cs="宋体"/>
            </w:rPr>
            <w:fldChar w:fldCharType="end"/>
          </w:r>
          <w:r>
            <w:rPr>
              <w:rFonts w:hint="eastAsia" w:hAnsi="宋体" w:cs="宋体"/>
            </w:rPr>
            <w:fldChar w:fldCharType="end"/>
          </w:r>
        </w:p>
        <w:p w14:paraId="77E02EDD">
          <w:pPr>
            <w:pStyle w:val="19"/>
            <w:tabs>
              <w:tab w:val="right" w:leader="dot" w:pos="9354"/>
            </w:tabs>
            <w:rPr>
              <w:rFonts w:hAnsi="宋体" w:cs="宋体"/>
            </w:rPr>
          </w:pPr>
          <w:r>
            <w:fldChar w:fldCharType="begin"/>
          </w:r>
          <w:r>
            <w:instrText xml:space="preserve"> HYPERLINK \l "_Toc28277" </w:instrText>
          </w:r>
          <w:r>
            <w:fldChar w:fldCharType="separate"/>
          </w:r>
          <w:r>
            <w:rPr>
              <w:rFonts w:hint="eastAsia" w:hAnsi="宋体" w:cs="宋体"/>
            </w:rPr>
            <w:t>4   分析全流程框架</w:t>
          </w:r>
          <w:r>
            <w:rPr>
              <w:rFonts w:hint="eastAsia" w:hAnsi="宋体" w:cs="宋体"/>
            </w:rPr>
            <w:tab/>
          </w:r>
          <w:r>
            <w:rPr>
              <w:rFonts w:hint="eastAsia" w:hAnsi="宋体" w:cs="宋体"/>
            </w:rPr>
            <w:fldChar w:fldCharType="begin"/>
          </w:r>
          <w:r>
            <w:rPr>
              <w:rFonts w:hint="eastAsia" w:hAnsi="宋体" w:cs="宋体"/>
            </w:rPr>
            <w:instrText xml:space="preserve"> PAGEREF _Toc28277 \h </w:instrText>
          </w:r>
          <w:r>
            <w:rPr>
              <w:rFonts w:hint="eastAsia" w:hAnsi="宋体" w:cs="宋体"/>
            </w:rPr>
            <w:fldChar w:fldCharType="separate"/>
          </w:r>
          <w:r>
            <w:rPr>
              <w:rFonts w:hint="eastAsia" w:hAnsi="宋体" w:cs="宋体"/>
            </w:rPr>
            <w:t>2</w:t>
          </w:r>
          <w:r>
            <w:rPr>
              <w:rFonts w:hint="eastAsia" w:hAnsi="宋体" w:cs="宋体"/>
            </w:rPr>
            <w:fldChar w:fldCharType="end"/>
          </w:r>
          <w:r>
            <w:rPr>
              <w:rFonts w:hint="eastAsia" w:hAnsi="宋体" w:cs="宋体"/>
            </w:rPr>
            <w:fldChar w:fldCharType="end"/>
          </w:r>
        </w:p>
        <w:p w14:paraId="583906D6">
          <w:pPr>
            <w:pStyle w:val="19"/>
            <w:tabs>
              <w:tab w:val="right" w:leader="dot" w:pos="9354"/>
            </w:tabs>
            <w:rPr>
              <w:rFonts w:hAnsi="宋体" w:cs="宋体"/>
            </w:rPr>
          </w:pPr>
          <w:r>
            <w:fldChar w:fldCharType="begin"/>
          </w:r>
          <w:r>
            <w:instrText xml:space="preserve"> HYPERLINK \l "_Toc8777" </w:instrText>
          </w:r>
          <w:r>
            <w:fldChar w:fldCharType="separate"/>
          </w:r>
          <w:r>
            <w:rPr>
              <w:rFonts w:hint="eastAsia" w:hAnsi="宋体" w:cs="宋体"/>
            </w:rPr>
            <w:t>5    技术性能要求</w:t>
          </w:r>
          <w:r>
            <w:rPr>
              <w:rFonts w:hint="eastAsia" w:hAnsi="宋体" w:cs="宋体"/>
            </w:rPr>
            <w:tab/>
          </w:r>
          <w:r>
            <w:rPr>
              <w:rFonts w:hint="eastAsia" w:hAnsi="宋体" w:cs="宋体"/>
            </w:rPr>
            <w:fldChar w:fldCharType="begin"/>
          </w:r>
          <w:r>
            <w:rPr>
              <w:rFonts w:hint="eastAsia" w:hAnsi="宋体" w:cs="宋体"/>
            </w:rPr>
            <w:instrText xml:space="preserve"> PAGEREF _Toc8777 \h </w:instrText>
          </w:r>
          <w:r>
            <w:rPr>
              <w:rFonts w:hint="eastAsia" w:hAnsi="宋体" w:cs="宋体"/>
            </w:rPr>
            <w:fldChar w:fldCharType="separate"/>
          </w:r>
          <w:r>
            <w:rPr>
              <w:rFonts w:hint="eastAsia" w:hAnsi="宋体" w:cs="宋体"/>
            </w:rPr>
            <w:t>3</w:t>
          </w:r>
          <w:r>
            <w:rPr>
              <w:rFonts w:hint="eastAsia" w:hAnsi="宋体" w:cs="宋体"/>
            </w:rPr>
            <w:fldChar w:fldCharType="end"/>
          </w:r>
          <w:r>
            <w:rPr>
              <w:rFonts w:hint="eastAsia" w:hAnsi="宋体" w:cs="宋体"/>
            </w:rPr>
            <w:fldChar w:fldCharType="end"/>
          </w:r>
        </w:p>
        <w:p w14:paraId="6F9DC996">
          <w:pPr>
            <w:pStyle w:val="19"/>
            <w:tabs>
              <w:tab w:val="right" w:leader="dot" w:pos="9354"/>
            </w:tabs>
            <w:rPr>
              <w:rFonts w:hAnsi="宋体" w:cs="宋体"/>
            </w:rPr>
          </w:pPr>
          <w:r>
            <w:fldChar w:fldCharType="begin"/>
          </w:r>
          <w:r>
            <w:instrText xml:space="preserve"> HYPERLINK \l "_Toc1769" </w:instrText>
          </w:r>
          <w:r>
            <w:fldChar w:fldCharType="separate"/>
          </w:r>
          <w:r>
            <w:rPr>
              <w:rFonts w:hint="eastAsia" w:hAnsi="宋体" w:cs="宋体"/>
            </w:rPr>
            <w:t>6   数据分析性能要求（见附录E）</w:t>
          </w:r>
          <w:r>
            <w:rPr>
              <w:rFonts w:hint="eastAsia" w:hAnsi="宋体" w:cs="宋体"/>
            </w:rPr>
            <w:tab/>
          </w:r>
          <w:r>
            <w:rPr>
              <w:rFonts w:hint="eastAsia" w:hAnsi="宋体" w:cs="宋体"/>
            </w:rPr>
            <w:fldChar w:fldCharType="begin"/>
          </w:r>
          <w:r>
            <w:rPr>
              <w:rFonts w:hint="eastAsia" w:hAnsi="宋体" w:cs="宋体"/>
            </w:rPr>
            <w:instrText xml:space="preserve"> PAGEREF _Toc1769 \h </w:instrText>
          </w:r>
          <w:r>
            <w:rPr>
              <w:rFonts w:hint="eastAsia" w:hAnsi="宋体" w:cs="宋体"/>
            </w:rPr>
            <w:fldChar w:fldCharType="separate"/>
          </w:r>
          <w:r>
            <w:rPr>
              <w:rFonts w:hint="eastAsia" w:hAnsi="宋体" w:cs="宋体"/>
            </w:rPr>
            <w:t>3</w:t>
          </w:r>
          <w:r>
            <w:rPr>
              <w:rFonts w:hint="eastAsia" w:hAnsi="宋体" w:cs="宋体"/>
            </w:rPr>
            <w:fldChar w:fldCharType="end"/>
          </w:r>
          <w:r>
            <w:rPr>
              <w:rFonts w:hint="eastAsia" w:hAnsi="宋体" w:cs="宋体"/>
            </w:rPr>
            <w:fldChar w:fldCharType="end"/>
          </w:r>
        </w:p>
        <w:p w14:paraId="04CDE757">
          <w:pPr>
            <w:pStyle w:val="19"/>
            <w:tabs>
              <w:tab w:val="right" w:leader="dot" w:pos="9354"/>
            </w:tabs>
            <w:rPr>
              <w:rFonts w:hAnsi="宋体" w:cs="宋体"/>
            </w:rPr>
          </w:pPr>
          <w:r>
            <w:fldChar w:fldCharType="begin"/>
          </w:r>
          <w:r>
            <w:instrText xml:space="preserve"> HYPERLINK \l "_Toc9250" </w:instrText>
          </w:r>
          <w:r>
            <w:fldChar w:fldCharType="separate"/>
          </w:r>
          <w:r>
            <w:rPr>
              <w:rFonts w:hint="eastAsia" w:hAnsi="宋体" w:cs="宋体"/>
            </w:rPr>
            <w:t>7   云平台分析模块要求</w:t>
          </w:r>
          <w:r>
            <w:rPr>
              <w:rFonts w:hint="eastAsia" w:hAnsi="宋体" w:cs="宋体"/>
            </w:rPr>
            <w:tab/>
          </w:r>
          <w:r>
            <w:rPr>
              <w:rFonts w:hint="eastAsia" w:hAnsi="宋体" w:cs="宋体"/>
            </w:rPr>
            <w:fldChar w:fldCharType="begin"/>
          </w:r>
          <w:r>
            <w:rPr>
              <w:rFonts w:hint="eastAsia" w:hAnsi="宋体" w:cs="宋体"/>
            </w:rPr>
            <w:instrText xml:space="preserve"> PAGEREF _Toc9250 \h </w:instrText>
          </w:r>
          <w:r>
            <w:rPr>
              <w:rFonts w:hint="eastAsia" w:hAnsi="宋体" w:cs="宋体"/>
            </w:rPr>
            <w:fldChar w:fldCharType="separate"/>
          </w:r>
          <w:r>
            <w:rPr>
              <w:rFonts w:hint="eastAsia" w:hAnsi="宋体" w:cs="宋体"/>
            </w:rPr>
            <w:t>3</w:t>
          </w:r>
          <w:r>
            <w:rPr>
              <w:rFonts w:hint="eastAsia" w:hAnsi="宋体" w:cs="宋体"/>
            </w:rPr>
            <w:fldChar w:fldCharType="end"/>
          </w:r>
          <w:r>
            <w:rPr>
              <w:rFonts w:hint="eastAsia" w:hAnsi="宋体" w:cs="宋体"/>
            </w:rPr>
            <w:fldChar w:fldCharType="end"/>
          </w:r>
        </w:p>
        <w:p w14:paraId="5F049C93">
          <w:pPr>
            <w:pStyle w:val="19"/>
            <w:tabs>
              <w:tab w:val="right" w:leader="dot" w:pos="9354"/>
            </w:tabs>
            <w:rPr>
              <w:rFonts w:hAnsi="宋体" w:cs="宋体"/>
            </w:rPr>
          </w:pPr>
          <w:r>
            <w:fldChar w:fldCharType="begin"/>
          </w:r>
          <w:r>
            <w:instrText xml:space="preserve"> HYPERLINK \l "_Toc18644" </w:instrText>
          </w:r>
          <w:r>
            <w:fldChar w:fldCharType="separate"/>
          </w:r>
          <w:r>
            <w:rPr>
              <w:rFonts w:hint="eastAsia" w:hAnsi="宋体" w:cs="宋体"/>
            </w:rPr>
            <w:t>8   鉴定评分公式</w:t>
          </w:r>
          <w:r>
            <w:rPr>
              <w:rFonts w:hint="eastAsia" w:hAnsi="宋体" w:cs="宋体"/>
            </w:rPr>
            <w:tab/>
          </w:r>
          <w:r>
            <w:rPr>
              <w:rFonts w:hint="eastAsia" w:hAnsi="宋体" w:cs="宋体"/>
            </w:rPr>
            <w:fldChar w:fldCharType="begin"/>
          </w:r>
          <w:r>
            <w:rPr>
              <w:rFonts w:hint="eastAsia" w:hAnsi="宋体" w:cs="宋体"/>
            </w:rPr>
            <w:instrText xml:space="preserve"> PAGEREF _Toc18644 \h </w:instrText>
          </w:r>
          <w:r>
            <w:rPr>
              <w:rFonts w:hint="eastAsia" w:hAnsi="宋体" w:cs="宋体"/>
            </w:rPr>
            <w:fldChar w:fldCharType="separate"/>
          </w:r>
          <w:r>
            <w:rPr>
              <w:rFonts w:hint="eastAsia" w:hAnsi="宋体" w:cs="宋体"/>
            </w:rPr>
            <w:t>4</w:t>
          </w:r>
          <w:r>
            <w:rPr>
              <w:rFonts w:hint="eastAsia" w:hAnsi="宋体" w:cs="宋体"/>
            </w:rPr>
            <w:fldChar w:fldCharType="end"/>
          </w:r>
          <w:r>
            <w:rPr>
              <w:rFonts w:hint="eastAsia" w:hAnsi="宋体" w:cs="宋体"/>
            </w:rPr>
            <w:fldChar w:fldCharType="end"/>
          </w:r>
        </w:p>
        <w:p w14:paraId="6F3B35F7">
          <w:pPr>
            <w:pStyle w:val="19"/>
            <w:tabs>
              <w:tab w:val="right" w:leader="dot" w:pos="9354"/>
            </w:tabs>
            <w:rPr>
              <w:rFonts w:hAnsi="宋体" w:cs="宋体"/>
            </w:rPr>
          </w:pPr>
          <w:r>
            <w:fldChar w:fldCharType="begin"/>
          </w:r>
          <w:r>
            <w:instrText xml:space="preserve"> HYPERLINK \l "_Toc3224" </w:instrText>
          </w:r>
          <w:r>
            <w:fldChar w:fldCharType="separate"/>
          </w:r>
          <w:r>
            <w:rPr>
              <w:rFonts w:hint="eastAsia" w:hAnsi="宋体" w:cs="宋体"/>
            </w:rPr>
            <w:t>9   结果报告与分级管理</w:t>
          </w:r>
          <w:r>
            <w:rPr>
              <w:rFonts w:hint="eastAsia" w:hAnsi="宋体" w:cs="宋体"/>
            </w:rPr>
            <w:tab/>
          </w:r>
          <w:r>
            <w:rPr>
              <w:rFonts w:hint="eastAsia" w:hAnsi="宋体" w:cs="宋体"/>
            </w:rPr>
            <w:fldChar w:fldCharType="begin"/>
          </w:r>
          <w:r>
            <w:rPr>
              <w:rFonts w:hint="eastAsia" w:hAnsi="宋体" w:cs="宋体"/>
            </w:rPr>
            <w:instrText xml:space="preserve"> PAGEREF _Toc3224 \h </w:instrText>
          </w:r>
          <w:r>
            <w:rPr>
              <w:rFonts w:hint="eastAsia" w:hAnsi="宋体" w:cs="宋体"/>
            </w:rPr>
            <w:fldChar w:fldCharType="separate"/>
          </w:r>
          <w:r>
            <w:rPr>
              <w:rFonts w:hint="eastAsia" w:hAnsi="宋体" w:cs="宋体"/>
            </w:rPr>
            <w:t>4</w:t>
          </w:r>
          <w:r>
            <w:rPr>
              <w:rFonts w:hint="eastAsia" w:hAnsi="宋体" w:cs="宋体"/>
            </w:rPr>
            <w:fldChar w:fldCharType="end"/>
          </w:r>
          <w:r>
            <w:rPr>
              <w:rFonts w:hint="eastAsia" w:hAnsi="宋体" w:cs="宋体"/>
            </w:rPr>
            <w:fldChar w:fldCharType="end"/>
          </w:r>
        </w:p>
        <w:p w14:paraId="79F21C52">
          <w:pPr>
            <w:pStyle w:val="19"/>
            <w:tabs>
              <w:tab w:val="right" w:leader="dot" w:pos="9354"/>
            </w:tabs>
            <w:rPr>
              <w:rFonts w:hAnsi="宋体" w:cs="宋体"/>
            </w:rPr>
          </w:pPr>
          <w:r>
            <w:fldChar w:fldCharType="begin"/>
          </w:r>
          <w:r>
            <w:instrText xml:space="preserve"> HYPERLINK \l "_Toc30449" </w:instrText>
          </w:r>
          <w:r>
            <w:fldChar w:fldCharType="separate"/>
          </w:r>
          <w:r>
            <w:rPr>
              <w:rFonts w:hint="eastAsia" w:hAnsi="宋体" w:cs="宋体"/>
            </w:rPr>
            <w:t>10   数据管理与质量监督</w:t>
          </w:r>
          <w:r>
            <w:rPr>
              <w:rFonts w:hint="eastAsia" w:hAnsi="宋体" w:cs="宋体"/>
            </w:rPr>
            <w:tab/>
          </w:r>
          <w:r>
            <w:rPr>
              <w:rFonts w:hint="eastAsia" w:hAnsi="宋体" w:cs="宋体"/>
            </w:rPr>
            <w:fldChar w:fldCharType="begin"/>
          </w:r>
          <w:r>
            <w:rPr>
              <w:rFonts w:hint="eastAsia" w:hAnsi="宋体" w:cs="宋体"/>
            </w:rPr>
            <w:instrText xml:space="preserve"> PAGEREF _Toc30449 \h </w:instrText>
          </w:r>
          <w:r>
            <w:rPr>
              <w:rFonts w:hint="eastAsia" w:hAnsi="宋体" w:cs="宋体"/>
            </w:rPr>
            <w:fldChar w:fldCharType="separate"/>
          </w:r>
          <w:r>
            <w:rPr>
              <w:rFonts w:hint="eastAsia" w:hAnsi="宋体" w:cs="宋体"/>
            </w:rPr>
            <w:t>5</w:t>
          </w:r>
          <w:r>
            <w:rPr>
              <w:rFonts w:hint="eastAsia" w:hAnsi="宋体" w:cs="宋体"/>
            </w:rPr>
            <w:fldChar w:fldCharType="end"/>
          </w:r>
          <w:r>
            <w:rPr>
              <w:rFonts w:hint="eastAsia" w:hAnsi="宋体" w:cs="宋体"/>
            </w:rPr>
            <w:fldChar w:fldCharType="end"/>
          </w:r>
        </w:p>
        <w:p w14:paraId="4FE6E351">
          <w:pPr>
            <w:pStyle w:val="19"/>
            <w:tabs>
              <w:tab w:val="right" w:leader="dot" w:pos="9354"/>
            </w:tabs>
            <w:rPr>
              <w:rFonts w:hAnsi="宋体" w:cs="宋体"/>
            </w:rPr>
          </w:pPr>
          <w:r>
            <w:fldChar w:fldCharType="begin"/>
          </w:r>
          <w:r>
            <w:instrText xml:space="preserve"> HYPERLINK \l "_Toc30056" </w:instrText>
          </w:r>
          <w:r>
            <w:fldChar w:fldCharType="separate"/>
          </w:r>
          <w:r>
            <w:rPr>
              <w:rFonts w:hint="eastAsia" w:hAnsi="宋体" w:cs="宋体"/>
              <w:bCs/>
            </w:rPr>
            <w:t>附录A</w:t>
          </w:r>
          <w:r>
            <w:rPr>
              <w:rFonts w:hint="eastAsia" w:hAnsi="宋体" w:cs="宋体"/>
            </w:rPr>
            <w:tab/>
          </w:r>
          <w:r>
            <w:rPr>
              <w:rFonts w:hint="eastAsia" w:hAnsi="宋体" w:cs="宋体"/>
            </w:rPr>
            <w:fldChar w:fldCharType="begin"/>
          </w:r>
          <w:r>
            <w:rPr>
              <w:rFonts w:hint="eastAsia" w:hAnsi="宋体" w:cs="宋体"/>
            </w:rPr>
            <w:instrText xml:space="preserve"> PAGEREF _Toc30056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7604078D">
          <w:pPr>
            <w:pStyle w:val="19"/>
            <w:tabs>
              <w:tab w:val="right" w:leader="dot" w:pos="9354"/>
            </w:tabs>
            <w:rPr>
              <w:rFonts w:hAnsi="宋体" w:cs="宋体"/>
            </w:rPr>
          </w:pPr>
          <w:r>
            <w:fldChar w:fldCharType="begin"/>
          </w:r>
          <w:r>
            <w:instrText xml:space="preserve"> HYPERLINK \l "_Toc26158" </w:instrText>
          </w:r>
          <w:r>
            <w:fldChar w:fldCharType="separate"/>
          </w:r>
          <w:r>
            <w:rPr>
              <w:rFonts w:hint="eastAsia" w:hAnsi="宋体" w:cs="宋体"/>
            </w:rPr>
            <w:t>附录B</w:t>
          </w:r>
          <w:r>
            <w:rPr>
              <w:rFonts w:hint="eastAsia" w:hAnsi="宋体" w:cs="宋体"/>
            </w:rPr>
            <w:tab/>
          </w:r>
          <w:r>
            <w:rPr>
              <w:rFonts w:hint="eastAsia" w:hAnsi="宋体" w:cs="宋体"/>
            </w:rPr>
            <w:fldChar w:fldCharType="begin"/>
          </w:r>
          <w:r>
            <w:rPr>
              <w:rFonts w:hint="eastAsia" w:hAnsi="宋体" w:cs="宋体"/>
            </w:rPr>
            <w:instrText xml:space="preserve"> PAGEREF _Toc26158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6E509D4B">
          <w:pPr>
            <w:pStyle w:val="19"/>
            <w:tabs>
              <w:tab w:val="right" w:leader="dot" w:pos="9354"/>
            </w:tabs>
            <w:rPr>
              <w:rFonts w:hAnsi="宋体" w:cs="宋体"/>
            </w:rPr>
          </w:pPr>
          <w:r>
            <w:fldChar w:fldCharType="begin"/>
          </w:r>
          <w:r>
            <w:instrText xml:space="preserve"> HYPERLINK \l "_Toc8521" </w:instrText>
          </w:r>
          <w:r>
            <w:fldChar w:fldCharType="separate"/>
          </w:r>
          <w:r>
            <w:rPr>
              <w:rFonts w:hint="eastAsia" w:hAnsi="宋体" w:cs="宋体"/>
              <w:bCs/>
            </w:rPr>
            <w:t>附录C</w:t>
          </w:r>
          <w:r>
            <w:rPr>
              <w:rFonts w:hint="eastAsia" w:hAnsi="宋体" w:cs="宋体"/>
            </w:rPr>
            <w:tab/>
          </w:r>
          <w:r>
            <w:rPr>
              <w:rFonts w:hint="eastAsia" w:hAnsi="宋体" w:cs="宋体"/>
            </w:rPr>
            <w:fldChar w:fldCharType="begin"/>
          </w:r>
          <w:r>
            <w:rPr>
              <w:rFonts w:hint="eastAsia" w:hAnsi="宋体" w:cs="宋体"/>
            </w:rPr>
            <w:instrText xml:space="preserve"> PAGEREF _Toc8521 \h </w:instrText>
          </w:r>
          <w:r>
            <w:rPr>
              <w:rFonts w:hint="eastAsia" w:hAnsi="宋体" w:cs="宋体"/>
            </w:rPr>
            <w:fldChar w:fldCharType="separate"/>
          </w:r>
          <w:r>
            <w:rPr>
              <w:rFonts w:hint="eastAsia" w:hAnsi="宋体" w:cs="宋体"/>
            </w:rPr>
            <w:t>9</w:t>
          </w:r>
          <w:r>
            <w:rPr>
              <w:rFonts w:hint="eastAsia" w:hAnsi="宋体" w:cs="宋体"/>
            </w:rPr>
            <w:fldChar w:fldCharType="end"/>
          </w:r>
          <w:r>
            <w:rPr>
              <w:rFonts w:hint="eastAsia" w:hAnsi="宋体" w:cs="宋体"/>
            </w:rPr>
            <w:fldChar w:fldCharType="end"/>
          </w:r>
        </w:p>
        <w:p w14:paraId="63322165">
          <w:pPr>
            <w:pStyle w:val="19"/>
            <w:tabs>
              <w:tab w:val="right" w:leader="dot" w:pos="9354"/>
            </w:tabs>
            <w:rPr>
              <w:rFonts w:hAnsi="宋体" w:cs="宋体"/>
            </w:rPr>
          </w:pPr>
          <w:r>
            <w:fldChar w:fldCharType="begin"/>
          </w:r>
          <w:r>
            <w:instrText xml:space="preserve"> HYPERLINK \l "_Toc4578" </w:instrText>
          </w:r>
          <w:r>
            <w:fldChar w:fldCharType="separate"/>
          </w:r>
          <w:r>
            <w:rPr>
              <w:rFonts w:hint="eastAsia" w:hAnsi="宋体" w:cs="宋体"/>
              <w:bCs/>
            </w:rPr>
            <w:t>附录D</w:t>
          </w:r>
          <w:r>
            <w:rPr>
              <w:rFonts w:hint="eastAsia" w:hAnsi="宋体" w:cs="宋体"/>
            </w:rPr>
            <w:tab/>
          </w:r>
          <w:r>
            <w:rPr>
              <w:rFonts w:hint="eastAsia" w:hAnsi="宋体" w:cs="宋体"/>
            </w:rPr>
            <w:fldChar w:fldCharType="begin"/>
          </w:r>
          <w:r>
            <w:rPr>
              <w:rFonts w:hint="eastAsia" w:hAnsi="宋体" w:cs="宋体"/>
            </w:rPr>
            <w:instrText xml:space="preserve"> PAGEREF _Toc4578 \h </w:instrText>
          </w:r>
          <w:r>
            <w:rPr>
              <w:rFonts w:hint="eastAsia" w:hAnsi="宋体" w:cs="宋体"/>
            </w:rPr>
            <w:fldChar w:fldCharType="separate"/>
          </w:r>
          <w:r>
            <w:rPr>
              <w:rFonts w:hint="eastAsia" w:hAnsi="宋体" w:cs="宋体"/>
            </w:rPr>
            <w:t>9</w:t>
          </w:r>
          <w:r>
            <w:rPr>
              <w:rFonts w:hint="eastAsia" w:hAnsi="宋体" w:cs="宋体"/>
            </w:rPr>
            <w:fldChar w:fldCharType="end"/>
          </w:r>
          <w:r>
            <w:rPr>
              <w:rFonts w:hint="eastAsia" w:hAnsi="宋体" w:cs="宋体"/>
            </w:rPr>
            <w:fldChar w:fldCharType="end"/>
          </w:r>
        </w:p>
        <w:p w14:paraId="229AC81B">
          <w:pPr>
            <w:pStyle w:val="19"/>
            <w:tabs>
              <w:tab w:val="right" w:leader="dot" w:pos="9354"/>
            </w:tabs>
            <w:rPr>
              <w:rFonts w:hAnsi="宋体" w:cs="宋体"/>
            </w:rPr>
          </w:pPr>
          <w:r>
            <w:fldChar w:fldCharType="begin"/>
          </w:r>
          <w:r>
            <w:instrText xml:space="preserve"> HYPERLINK \l "_Toc15306" </w:instrText>
          </w:r>
          <w:r>
            <w:fldChar w:fldCharType="separate"/>
          </w:r>
          <w:r>
            <w:rPr>
              <w:rFonts w:hint="eastAsia" w:hAnsi="宋体" w:cs="宋体"/>
              <w:bCs/>
            </w:rPr>
            <w:t>附录E</w:t>
          </w:r>
          <w:r>
            <w:rPr>
              <w:rFonts w:hint="eastAsia" w:hAnsi="宋体" w:cs="宋体"/>
            </w:rPr>
            <w:tab/>
          </w:r>
          <w:r>
            <w:rPr>
              <w:rFonts w:hint="eastAsia" w:hAnsi="宋体" w:cs="宋体"/>
            </w:rPr>
            <w:fldChar w:fldCharType="begin"/>
          </w:r>
          <w:r>
            <w:rPr>
              <w:rFonts w:hint="eastAsia" w:hAnsi="宋体" w:cs="宋体"/>
            </w:rPr>
            <w:instrText xml:space="preserve"> PAGEREF _Toc15306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65A7CF9B">
          <w:pPr>
            <w:pStyle w:val="19"/>
            <w:tabs>
              <w:tab w:val="right" w:leader="dot" w:pos="9354"/>
            </w:tabs>
          </w:pPr>
          <w:r>
            <w:fldChar w:fldCharType="begin"/>
          </w:r>
          <w:r>
            <w:instrText xml:space="preserve"> HYPERLINK \l "_Toc26281" </w:instrText>
          </w:r>
          <w:r>
            <w:fldChar w:fldCharType="separate"/>
          </w:r>
          <w:r>
            <w:rPr>
              <w:rFonts w:hint="eastAsia" w:hAnsi="宋体" w:cs="宋体"/>
              <w:bCs/>
            </w:rPr>
            <w:t>附录F</w:t>
          </w:r>
          <w:r>
            <w:rPr>
              <w:rFonts w:hint="eastAsia" w:hAnsi="宋体" w:cs="宋体"/>
            </w:rPr>
            <w:tab/>
          </w:r>
          <w:r>
            <w:rPr>
              <w:rFonts w:hint="eastAsia" w:hAnsi="宋体" w:cs="宋体"/>
            </w:rPr>
            <w:fldChar w:fldCharType="begin"/>
          </w:r>
          <w:r>
            <w:rPr>
              <w:rFonts w:hint="eastAsia" w:hAnsi="宋体" w:cs="宋体"/>
            </w:rPr>
            <w:instrText xml:space="preserve"> PAGEREF _Toc26281 \h </w:instrText>
          </w:r>
          <w:r>
            <w:rPr>
              <w:rFonts w:hint="eastAsia" w:hAnsi="宋体" w:cs="宋体"/>
            </w:rPr>
            <w:fldChar w:fldCharType="separate"/>
          </w:r>
          <w:r>
            <w:rPr>
              <w:rFonts w:hint="eastAsia" w:hAnsi="宋体" w:cs="宋体"/>
            </w:rPr>
            <w:t>12</w:t>
          </w:r>
          <w:r>
            <w:rPr>
              <w:rFonts w:hint="eastAsia" w:hAnsi="宋体" w:cs="宋体"/>
            </w:rPr>
            <w:fldChar w:fldCharType="end"/>
          </w:r>
          <w:r>
            <w:rPr>
              <w:rFonts w:hint="eastAsia" w:hAnsi="宋体" w:cs="宋体"/>
            </w:rPr>
            <w:fldChar w:fldCharType="end"/>
          </w:r>
        </w:p>
        <w:p w14:paraId="4901930F">
          <w:r>
            <w:rPr>
              <w:rFonts w:hint="eastAsia" w:ascii="宋体" w:hAnsi="宋体" w:cs="宋体"/>
            </w:rPr>
            <w:fldChar w:fldCharType="end"/>
          </w:r>
        </w:p>
      </w:sdtContent>
    </w:sdt>
    <w:p w14:paraId="1A7DD4DF">
      <w:pPr>
        <w:sectPr>
          <w:headerReference r:id="rId11" w:type="default"/>
          <w:footerReference r:id="rId12" w:type="default"/>
          <w:pgSz w:w="11906" w:h="16838"/>
          <w:pgMar w:top="1928" w:right="1134" w:bottom="1134" w:left="1134" w:header="1418" w:footer="1134" w:gutter="284"/>
          <w:pgNumType w:start="1"/>
          <w:cols w:space="425" w:num="1"/>
          <w:formProt w:val="0"/>
          <w:docGrid w:linePitch="312" w:charSpace="0"/>
        </w:sectPr>
      </w:pPr>
    </w:p>
    <w:p w14:paraId="2BCA4B57">
      <w:pPr>
        <w:tabs>
          <w:tab w:val="left" w:pos="743"/>
        </w:tabs>
        <w:jc w:val="center"/>
        <w:outlineLvl w:val="0"/>
        <w:rPr>
          <w:rFonts w:ascii="黑体" w:hAnsi="黑体" w:eastAsia="黑体" w:cs="黑体"/>
          <w:sz w:val="32"/>
          <w:szCs w:val="32"/>
        </w:rPr>
      </w:pPr>
      <w:bookmarkStart w:id="15" w:name="_Toc7516"/>
      <w:r>
        <w:rPr>
          <w:rFonts w:hint="eastAsia" w:ascii="黑体" w:hAnsi="黑体" w:eastAsia="黑体" w:cs="黑体"/>
          <w:sz w:val="32"/>
          <w:szCs w:val="32"/>
        </w:rPr>
        <w:t>前    言</w:t>
      </w:r>
      <w:bookmarkEnd w:id="15"/>
    </w:p>
    <w:p w14:paraId="4EA34663">
      <w:pPr>
        <w:tabs>
          <w:tab w:val="left" w:pos="743"/>
        </w:tabs>
        <w:jc w:val="center"/>
        <w:rPr>
          <w:rFonts w:ascii="黑体" w:hAnsi="黑体" w:eastAsia="黑体" w:cs="黑体"/>
          <w:sz w:val="32"/>
          <w:szCs w:val="32"/>
        </w:rPr>
      </w:pPr>
    </w:p>
    <w:p w14:paraId="14D4CA78">
      <w:pPr>
        <w:pStyle w:val="56"/>
        <w:ind w:firstLine="420"/>
        <w:rPr>
          <w:rFonts w:ascii="宋体" w:hAnsi="宋体"/>
        </w:rPr>
      </w:pPr>
      <w:r>
        <w:rPr>
          <w:rFonts w:hint="eastAsia" w:ascii="宋体" w:hAnsi="宋体"/>
        </w:rPr>
        <w:t>本文件参照GB/T 1.1—2020《标准化工作导则  第1部分：标准化文件的结构和起草规则》的规定起草。</w:t>
      </w:r>
    </w:p>
    <w:p w14:paraId="44EEC7CC">
      <w:pPr>
        <w:pStyle w:val="56"/>
        <w:ind w:firstLine="420"/>
      </w:pPr>
      <w:r>
        <w:rPr>
          <w:rFonts w:hint="eastAsia"/>
        </w:rPr>
        <w:t>请注意本文件的某些内容可能涉及专利。本文件的发布机构不承担识别专利的责任。</w:t>
      </w:r>
    </w:p>
    <w:p w14:paraId="3BC9A63F">
      <w:pPr>
        <w:pStyle w:val="56"/>
        <w:ind w:firstLine="420"/>
      </w:pPr>
      <w:r>
        <w:rPr>
          <w:rFonts w:hint="eastAsia"/>
        </w:rPr>
        <w:t>本文件由广西医科大学提出并宣贯。</w:t>
      </w:r>
    </w:p>
    <w:p w14:paraId="296FCBB7">
      <w:pPr>
        <w:pStyle w:val="56"/>
        <w:ind w:firstLine="420"/>
      </w:pPr>
      <w:r>
        <w:rPr>
          <w:rFonts w:hint="eastAsia"/>
        </w:rPr>
        <w:t>本文件由广西标准化协会归口。</w:t>
      </w:r>
    </w:p>
    <w:p w14:paraId="6380F6B0">
      <w:pPr>
        <w:pStyle w:val="56"/>
        <w:ind w:firstLine="420"/>
      </w:pPr>
      <w:r>
        <w:rPr>
          <w:rFonts w:hint="eastAsia"/>
        </w:rPr>
        <w:t>本文件起草单位：广西医科大学、广西翰佰尔生物科技有限公司、钦州市第二人民医院、广西壮族自治区疾病预防控制中心、柳州市人民医院、桂林市人民医院、右江民族医学院附属医院、南宁市疾病预防控制中心、防城港市第一人民医院、广西壮族自治区人民医院北院。</w:t>
      </w:r>
    </w:p>
    <w:p w14:paraId="4F3C872A">
      <w:pPr>
        <w:pStyle w:val="56"/>
        <w:ind w:firstLine="420"/>
        <w:sectPr>
          <w:footerReference r:id="rId13" w:type="default"/>
          <w:pgSz w:w="11906" w:h="16838"/>
          <w:pgMar w:top="1928" w:right="1134" w:bottom="1134" w:left="1134" w:header="1418" w:footer="1134" w:gutter="284"/>
          <w:pgNumType w:start="1"/>
          <w:cols w:space="425" w:num="1"/>
          <w:formProt w:val="0"/>
          <w:docGrid w:linePitch="312" w:charSpace="0"/>
        </w:sectPr>
      </w:pPr>
      <w:r>
        <w:rPr>
          <w:rFonts w:hint="eastAsia"/>
        </w:rPr>
        <w:t>本文件主要起草人：胡艳玲、张芷宁、阙腾程、黄丽玲、庞贤武、唐石伏、杨峻、吕建楠、秦剑秋、严芝光、张胜锋、邱洪、周青鸟、李文、陈盘余、李璞、韦华贵、陈兴财、黄银燕、翟励敏、何萍、唐凯玲、马洁、许承琼、罗柳春、黄凯华、莫流芳、吴春凤。</w:t>
      </w:r>
    </w:p>
    <w:p w14:paraId="4A97F5C2">
      <w:pPr>
        <w:spacing w:line="20" w:lineRule="exact"/>
        <w:jc w:val="center"/>
        <w:rPr>
          <w:rFonts w:ascii="黑体" w:hAnsi="黑体" w:eastAsia="黑体"/>
          <w:sz w:val="32"/>
          <w:szCs w:val="32"/>
        </w:rPr>
      </w:pPr>
    </w:p>
    <w:p w14:paraId="290D0079">
      <w:pPr>
        <w:spacing w:line="20" w:lineRule="exact"/>
        <w:jc w:val="center"/>
        <w:rPr>
          <w:rFonts w:ascii="黑体" w:hAnsi="黑体" w:eastAsia="黑体"/>
          <w:sz w:val="32"/>
          <w:szCs w:val="32"/>
        </w:rPr>
      </w:pPr>
    </w:p>
    <w:sdt>
      <w:sdtPr>
        <w:tag w:val="NEW_STAND_NAME"/>
        <w:id w:val="595910757"/>
        <w:lock w:val="sdtLocked"/>
        <w:placeholder>
          <w:docPart w:val="F202FFC1E3C940B08D47765A1AFC7E04"/>
        </w:placeholder>
      </w:sdtPr>
      <w:sdtContent>
        <w:p w14:paraId="2BAF7DB4">
          <w:pPr>
            <w:pStyle w:val="177"/>
          </w:pPr>
          <w:bookmarkStart w:id="16" w:name="NEW_STAND_NAME"/>
          <w:r>
            <w:rPr>
              <w:rStyle w:val="29"/>
              <w:rFonts w:hint="eastAsia" w:cs="黑体"/>
              <w:b w:val="0"/>
              <w:bCs w:val="0"/>
            </w:rPr>
            <w:t>病原体高通量测序数据分析技术规范  HPD-Kit 评分法</w:t>
          </w:r>
        </w:p>
      </w:sdtContent>
    </w:sdt>
    <w:bookmarkEnd w:id="16"/>
    <w:p w14:paraId="4BF84871">
      <w:pPr>
        <w:pStyle w:val="104"/>
        <w:spacing w:before="240" w:after="240"/>
      </w:pPr>
      <w:bookmarkStart w:id="17" w:name="_Toc24884218"/>
      <w:bookmarkStart w:id="18" w:name="_Toc26986771"/>
      <w:bookmarkStart w:id="19" w:name="_Toc17233333"/>
      <w:bookmarkStart w:id="20" w:name="_Toc26648465"/>
      <w:bookmarkStart w:id="21" w:name="_Toc20261"/>
      <w:bookmarkStart w:id="22" w:name="_Toc26986530"/>
      <w:bookmarkStart w:id="23" w:name="_Toc24884211"/>
      <w:bookmarkStart w:id="24" w:name="_Toc26718930"/>
      <w:bookmarkStart w:id="25" w:name="_Toc17233325"/>
      <w:bookmarkStart w:id="26" w:name="_Toc97192964"/>
      <w:r>
        <w:rPr>
          <w:rFonts w:hint="eastAsia"/>
        </w:rPr>
        <w:t>范围</w:t>
      </w:r>
      <w:bookmarkEnd w:id="17"/>
      <w:bookmarkEnd w:id="18"/>
      <w:bookmarkEnd w:id="19"/>
      <w:bookmarkEnd w:id="20"/>
      <w:bookmarkEnd w:id="21"/>
      <w:bookmarkEnd w:id="22"/>
      <w:bookmarkEnd w:id="23"/>
      <w:bookmarkEnd w:id="24"/>
      <w:bookmarkEnd w:id="25"/>
      <w:bookmarkEnd w:id="26"/>
    </w:p>
    <w:p w14:paraId="4B8A4BBF">
      <w:pPr>
        <w:pStyle w:val="56"/>
        <w:ind w:firstLine="420"/>
        <w:rPr>
          <w:rStyle w:val="29"/>
          <w:rFonts w:ascii="宋体" w:hAnsi="宋体"/>
          <w:b w:val="0"/>
          <w:bCs w:val="0"/>
        </w:rPr>
      </w:pPr>
      <w:bookmarkStart w:id="27" w:name="_Toc24884219"/>
      <w:bookmarkStart w:id="28" w:name="_Toc17233326"/>
      <w:bookmarkStart w:id="29" w:name="_Toc17233334"/>
      <w:bookmarkStart w:id="30" w:name="_Toc24884212"/>
      <w:bookmarkStart w:id="31" w:name="_Toc26648466"/>
      <w:r>
        <w:rPr>
          <w:rStyle w:val="29"/>
          <w:rFonts w:hint="eastAsia" w:ascii="宋体" w:hAnsi="宋体"/>
          <w:b w:val="0"/>
          <w:bCs w:val="0"/>
        </w:rPr>
        <w:t>本文件确立了基于宏基因组测序（mNGS）的病原体高通量检测数据分析工具包（HPD-Kit）的技术要求，包括分析全流程框架、数据库构建与管理、技术性能指标、云平台分析模块功能、病原体鉴定评分公式、质量控制体系及结果判读规范。</w:t>
      </w:r>
    </w:p>
    <w:p w14:paraId="7DF22CC1">
      <w:pPr>
        <w:pStyle w:val="56"/>
        <w:ind w:firstLine="420"/>
        <w:rPr>
          <w:rFonts w:ascii="宋体" w:hAnsi="宋体"/>
        </w:rPr>
      </w:pPr>
      <w:r>
        <w:rPr>
          <w:rStyle w:val="29"/>
          <w:rFonts w:hint="eastAsia" w:ascii="宋体" w:hAnsi="宋体"/>
          <w:b w:val="0"/>
          <w:bCs w:val="0"/>
        </w:rPr>
        <w:t>本文件适用于各类型生物医学实验室采用高通量测序法进行病原宏基因组检测的数据分析过程，也可为体外诊断开发商、制造商的相关产品研发、性能验证，以及科研机构的病原体检测研究和诊断机构的临床检测辅助决策提供参考。</w:t>
      </w:r>
    </w:p>
    <w:p w14:paraId="359DEEAE">
      <w:pPr>
        <w:pStyle w:val="104"/>
        <w:spacing w:before="240" w:after="240"/>
      </w:pPr>
      <w:bookmarkStart w:id="32" w:name="_Toc26718931"/>
      <w:bookmarkStart w:id="33" w:name="_Toc97192965"/>
      <w:bookmarkStart w:id="34" w:name="_Toc26986531"/>
      <w:bookmarkStart w:id="35" w:name="_Toc31833"/>
      <w:bookmarkStart w:id="36" w:name="_Toc26986772"/>
      <w:r>
        <w:rPr>
          <w:rFonts w:hint="eastAsia"/>
        </w:rPr>
        <w:t>规范性引用文件</w:t>
      </w:r>
      <w:bookmarkEnd w:id="27"/>
      <w:bookmarkEnd w:id="28"/>
      <w:bookmarkEnd w:id="29"/>
      <w:bookmarkEnd w:id="30"/>
      <w:bookmarkEnd w:id="31"/>
      <w:bookmarkEnd w:id="32"/>
      <w:bookmarkEnd w:id="33"/>
      <w:bookmarkEnd w:id="34"/>
      <w:bookmarkEnd w:id="35"/>
      <w:bookmarkEnd w:id="36"/>
    </w:p>
    <w:sdt>
      <w:sdtPr>
        <w:rPr>
          <w:rFonts w:hint="eastAsia"/>
        </w:rPr>
        <w:id w:val="715848253"/>
        <w:placeholder>
          <w:docPart w:val="70F02DC8AE864A92B6D5E99095213F0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2B0B7707">
          <w:pPr>
            <w:pStyle w:val="56"/>
            <w:ind w:firstLine="420"/>
          </w:pPr>
          <w:r>
            <w:rPr>
              <w:rFonts w:hint="eastAsia"/>
            </w:rPr>
            <w:t>本文件没有规范性引用文件。</w:t>
          </w:r>
        </w:p>
      </w:sdtContent>
    </w:sdt>
    <w:p w14:paraId="4059D7FE">
      <w:pPr>
        <w:pStyle w:val="104"/>
        <w:spacing w:before="240" w:after="240"/>
      </w:pPr>
      <w:bookmarkStart w:id="37" w:name="_Toc97192966"/>
      <w:bookmarkStart w:id="38" w:name="_Toc21888"/>
      <w:r>
        <w:rPr>
          <w:rFonts w:hint="eastAsia"/>
          <w:szCs w:val="21"/>
        </w:rPr>
        <w:t>术语和定义</w:t>
      </w:r>
      <w:bookmarkEnd w:id="37"/>
      <w:bookmarkEnd w:id="38"/>
    </w:p>
    <w:sdt>
      <w:sdtPr>
        <w:id w:val="-1909835108"/>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B5BF954">
          <w:pPr>
            <w:pStyle w:val="56"/>
            <w:ind w:firstLine="420"/>
          </w:pPr>
          <w:bookmarkStart w:id="39" w:name="_Toc26986532"/>
          <w:bookmarkEnd w:id="39"/>
          <w:r>
            <w:t>下列术语和定义适用于本文件。</w:t>
          </w:r>
        </w:p>
      </w:sdtContent>
    </w:sdt>
    <w:p w14:paraId="35D77469">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3.1  </w:t>
      </w:r>
    </w:p>
    <w:p w14:paraId="35BF1BF1">
      <w:pPr>
        <w:pStyle w:val="56"/>
        <w:ind w:firstLine="420"/>
      </w:pPr>
      <w:r>
        <w:rPr>
          <w:rStyle w:val="29"/>
          <w:rFonts w:hint="eastAsia" w:ascii="黑体" w:hAnsi="黑体" w:eastAsia="黑体" w:cs="黑体"/>
          <w:b w:val="0"/>
          <w:bCs w:val="0"/>
        </w:rPr>
        <w:t>HPD-Kit（Henbio Pathogen Detection Toolkit）</w:t>
      </w:r>
    </w:p>
    <w:p w14:paraId="72BC8D0C">
      <w:pPr>
        <w:pStyle w:val="56"/>
        <w:ind w:firstLine="420"/>
        <w:rPr>
          <w:rStyle w:val="29"/>
          <w:rFonts w:ascii="宋体" w:hAnsi="宋体"/>
          <w:b w:val="0"/>
          <w:bCs w:val="0"/>
        </w:rPr>
      </w:pPr>
      <w:r>
        <w:rPr>
          <w:rStyle w:val="29"/>
          <w:rFonts w:hint="eastAsia" w:ascii="宋体" w:hAnsi="宋体"/>
          <w:b w:val="0"/>
          <w:bCs w:val="0"/>
        </w:rPr>
        <w:t>集成标准化非冗余病原体参考基因组数据库、自动化生物信息学分析流程，含质量控制、多步比对验证及结果评分</w:t>
      </w:r>
      <w:r>
        <w:rPr>
          <w:rStyle w:val="29"/>
          <w:rFonts w:hint="eastAsia" w:ascii="宋体" w:hAnsi="宋体"/>
          <w:b w:val="0"/>
          <w:bCs w:val="0"/>
          <w:color w:val="000000" w:themeColor="text1"/>
          <w14:textFill>
            <w14:solidFill>
              <w14:schemeClr w14:val="tx1"/>
            </w14:solidFill>
          </w14:textFill>
        </w:rPr>
        <w:t>（详见附录A）</w:t>
      </w:r>
      <w:r>
        <w:rPr>
          <w:rStyle w:val="29"/>
          <w:rFonts w:hint="eastAsia" w:ascii="宋体" w:hAnsi="宋体"/>
          <w:b w:val="0"/>
          <w:bCs w:val="0"/>
        </w:rPr>
        <w:t>及多平台部署（本地与云平台）的检测工具包，支持mNGS原始数据的一键式分析，病原体重要性评分，涵盖数据质控、病原体鉴定、结果评估及报告生成全流程。</w:t>
      </w:r>
    </w:p>
    <w:p w14:paraId="1F3C22F9">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3.2  </w:t>
      </w:r>
    </w:p>
    <w:p w14:paraId="3246FD28">
      <w:pPr>
        <w:pStyle w:val="56"/>
        <w:ind w:firstLine="420"/>
        <w:rPr>
          <w:rStyle w:val="29"/>
          <w:rFonts w:ascii="黑体" w:hAnsi="黑体" w:eastAsia="黑体" w:cs="黑体"/>
          <w:b w:val="0"/>
          <w:bCs w:val="0"/>
        </w:rPr>
      </w:pPr>
      <w:r>
        <w:rPr>
          <w:rStyle w:val="29"/>
          <w:rFonts w:hint="eastAsia" w:ascii="黑体" w:hAnsi="黑体" w:eastAsia="黑体" w:cs="黑体"/>
          <w:b w:val="0"/>
          <w:bCs w:val="0"/>
        </w:rPr>
        <w:t>宏基因组测序  metagenomic sequencing, mNGS</w:t>
      </w:r>
    </w:p>
    <w:p w14:paraId="24972FC1">
      <w:pPr>
        <w:pStyle w:val="56"/>
        <w:ind w:firstLine="420"/>
        <w:rPr>
          <w:rStyle w:val="29"/>
          <w:rFonts w:ascii="宋体" w:hAnsi="宋体"/>
          <w:b w:val="0"/>
          <w:bCs w:val="0"/>
        </w:rPr>
      </w:pPr>
      <w:r>
        <w:rPr>
          <w:rStyle w:val="29"/>
          <w:rFonts w:hint="eastAsia" w:ascii="宋体" w:hAnsi="宋体"/>
          <w:b w:val="0"/>
          <w:bCs w:val="0"/>
        </w:rPr>
        <w:t>直接对样本中全部微生物核酸（DNA/RNA）进行无偏倚的高通量测序技术。</w:t>
      </w:r>
    </w:p>
    <w:p w14:paraId="2A95C21E">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3.3  </w:t>
      </w:r>
    </w:p>
    <w:p w14:paraId="2C4BA9D7">
      <w:pPr>
        <w:pStyle w:val="56"/>
        <w:ind w:firstLine="420"/>
        <w:rPr>
          <w:rStyle w:val="29"/>
          <w:rFonts w:ascii="黑体" w:hAnsi="黑体" w:eastAsia="黑体" w:cs="黑体"/>
          <w:b w:val="0"/>
          <w:bCs w:val="0"/>
        </w:rPr>
      </w:pPr>
      <w:r>
        <w:rPr>
          <w:rStyle w:val="29"/>
          <w:rFonts w:hint="eastAsia" w:ascii="黑体" w:hAnsi="黑体" w:eastAsia="黑体" w:cs="黑体"/>
          <w:b w:val="0"/>
          <w:bCs w:val="0"/>
        </w:rPr>
        <w:t>检出限  detection limit, LOD</w:t>
      </w:r>
    </w:p>
    <w:p w14:paraId="67C1DFC1">
      <w:pPr>
        <w:pStyle w:val="56"/>
        <w:ind w:firstLine="420"/>
        <w:rPr>
          <w:rStyle w:val="29"/>
          <w:rFonts w:ascii="宋体" w:hAnsi="宋体"/>
          <w:b w:val="0"/>
          <w:bCs w:val="0"/>
        </w:rPr>
      </w:pPr>
      <w:r>
        <w:rPr>
          <w:rStyle w:val="29"/>
          <w:rFonts w:hint="eastAsia" w:ascii="宋体" w:hAnsi="宋体"/>
          <w:b w:val="0"/>
          <w:bCs w:val="0"/>
        </w:rPr>
        <w:t>在95%置信水平下，可稳定检出的病原体最低浓度（病毒：copies/mL；细菌：基因拷贝数/mL或CFU/mL）。</w:t>
      </w:r>
    </w:p>
    <w:p w14:paraId="31540C4D">
      <w:pPr>
        <w:pStyle w:val="56"/>
        <w:spacing w:before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3.4  </w:t>
      </w:r>
    </w:p>
    <w:p w14:paraId="1150FA10">
      <w:pPr>
        <w:pStyle w:val="56"/>
        <w:ind w:firstLine="420"/>
        <w:rPr>
          <w:rStyle w:val="29"/>
          <w:rFonts w:ascii="黑体" w:hAnsi="黑体" w:eastAsia="黑体" w:cs="黑体"/>
          <w:b w:val="0"/>
          <w:bCs w:val="0"/>
        </w:rPr>
      </w:pPr>
      <w:r>
        <w:rPr>
          <w:rStyle w:val="29"/>
          <w:rFonts w:hint="eastAsia" w:ascii="黑体" w:hAnsi="黑体" w:eastAsia="黑体" w:cs="黑体"/>
          <w:b w:val="0"/>
          <w:bCs w:val="0"/>
        </w:rPr>
        <w:t>宿主基因序列去除率  host nucleic acid removal rate</w:t>
      </w:r>
    </w:p>
    <w:p w14:paraId="0519A7CC">
      <w:pPr>
        <w:pStyle w:val="56"/>
        <w:ind w:firstLine="420"/>
        <w:rPr>
          <w:rStyle w:val="29"/>
          <w:rFonts w:ascii="宋体" w:hAnsi="宋体"/>
          <w:b w:val="0"/>
          <w:bCs w:val="0"/>
        </w:rPr>
      </w:pPr>
      <w:r>
        <w:rPr>
          <w:rStyle w:val="29"/>
          <w:rFonts w:hint="eastAsia" w:ascii="宋体" w:hAnsi="宋体"/>
          <w:b w:val="0"/>
          <w:bCs w:val="0"/>
        </w:rPr>
        <w:t>样本经质控后，未比对到宿主基因组的reads数占质控后总 reads 数的比例（%），通过Bowtie2或BBMap比对法评估。</w:t>
      </w:r>
    </w:p>
    <w:p w14:paraId="1C940B70">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3.5  </w:t>
      </w:r>
    </w:p>
    <w:p w14:paraId="2F9EBC76">
      <w:pPr>
        <w:pStyle w:val="56"/>
        <w:ind w:firstLine="420"/>
        <w:rPr>
          <w:rStyle w:val="29"/>
          <w:rFonts w:ascii="黑体" w:hAnsi="黑体" w:eastAsia="黑体" w:cs="黑体"/>
          <w:b w:val="0"/>
          <w:bCs w:val="0"/>
        </w:rPr>
      </w:pPr>
      <w:r>
        <w:rPr>
          <w:rStyle w:val="29"/>
          <w:rFonts w:hint="eastAsia" w:ascii="黑体" w:hAnsi="黑体" w:eastAsia="黑体" w:cs="黑体"/>
          <w:b w:val="0"/>
          <w:bCs w:val="0"/>
        </w:rPr>
        <w:t>特异性  specificity</w:t>
      </w:r>
    </w:p>
    <w:p w14:paraId="10A7D2CB">
      <w:pPr>
        <w:pStyle w:val="56"/>
        <w:ind w:firstLine="420"/>
        <w:rPr>
          <w:rStyle w:val="29"/>
          <w:rFonts w:ascii="宋体" w:hAnsi="宋体"/>
          <w:b w:val="0"/>
          <w:bCs w:val="0"/>
        </w:rPr>
      </w:pPr>
      <w:r>
        <w:rPr>
          <w:rStyle w:val="29"/>
          <w:rFonts w:hint="eastAsia" w:ascii="宋体" w:hAnsi="宋体"/>
          <w:b w:val="0"/>
          <w:bCs w:val="0"/>
        </w:rPr>
        <w:t>非目标病原体误报率（%），基于BLAST比对（evalue≤1e-5，同源性≥95%）验证。</w:t>
      </w:r>
    </w:p>
    <w:p w14:paraId="360AE95C">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3.6  </w:t>
      </w:r>
    </w:p>
    <w:p w14:paraId="2AD96AE4">
      <w:pPr>
        <w:pStyle w:val="56"/>
        <w:ind w:firstLine="420"/>
        <w:rPr>
          <w:rStyle w:val="29"/>
          <w:rFonts w:ascii="黑体" w:hAnsi="黑体" w:eastAsia="黑体" w:cs="黑体"/>
          <w:b w:val="0"/>
          <w:bCs w:val="0"/>
        </w:rPr>
      </w:pPr>
      <w:r>
        <w:rPr>
          <w:rStyle w:val="29"/>
          <w:rFonts w:hint="eastAsia" w:ascii="黑体" w:hAnsi="黑体" w:eastAsia="黑体" w:cs="黑体"/>
          <w:b w:val="0"/>
          <w:bCs w:val="0"/>
        </w:rPr>
        <w:t>非冗余参考基因组  non-redundant reference genome</w:t>
      </w:r>
    </w:p>
    <w:p w14:paraId="50618B8B">
      <w:pPr>
        <w:pStyle w:val="56"/>
        <w:ind w:firstLine="420"/>
        <w:rPr>
          <w:rStyle w:val="29"/>
          <w:b w:val="0"/>
          <w:bCs w:val="0"/>
        </w:rPr>
      </w:pPr>
      <w:r>
        <w:rPr>
          <w:rStyle w:val="29"/>
          <w:rFonts w:hint="eastAsia"/>
          <w:b w:val="0"/>
          <w:bCs w:val="0"/>
        </w:rPr>
        <w:t>针对每个物种（以 TaxID 为标识）筛选的唯一参考基因组。</w:t>
      </w:r>
    </w:p>
    <w:p w14:paraId="6F1BE440">
      <w:pPr>
        <w:pStyle w:val="56"/>
        <w:ind w:firstLine="420"/>
        <w:rPr>
          <w:rStyle w:val="29"/>
          <w:b w:val="0"/>
          <w:bCs w:val="0"/>
        </w:rPr>
      </w:pPr>
    </w:p>
    <w:p w14:paraId="651F69B9">
      <w:pPr>
        <w:pStyle w:val="56"/>
        <w:ind w:firstLine="420"/>
        <w:rPr>
          <w:rStyle w:val="29"/>
          <w:b w:val="0"/>
          <w:bCs w:val="0"/>
        </w:rPr>
      </w:pPr>
    </w:p>
    <w:p w14:paraId="5CC4C93A">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3.7  </w:t>
      </w:r>
    </w:p>
    <w:p w14:paraId="32EC68FB">
      <w:pPr>
        <w:pStyle w:val="56"/>
        <w:ind w:firstLine="420"/>
        <w:rPr>
          <w:rStyle w:val="29"/>
          <w:rFonts w:ascii="黑体" w:hAnsi="黑体" w:eastAsia="黑体" w:cs="黑体"/>
          <w:b w:val="0"/>
          <w:bCs w:val="0"/>
        </w:rPr>
      </w:pPr>
      <w:r>
        <w:rPr>
          <w:rStyle w:val="29"/>
          <w:rFonts w:hint="eastAsia" w:ascii="黑体" w:hAnsi="黑体" w:eastAsia="黑体" w:cs="黑体"/>
          <w:b w:val="0"/>
          <w:bCs w:val="0"/>
        </w:rPr>
        <w:t>标准化病原体丰度  normalized Pathogen Abundance,NPA</w:t>
      </w:r>
    </w:p>
    <w:p w14:paraId="6BBB050A">
      <w:pPr>
        <w:pStyle w:val="56"/>
        <w:ind w:firstLine="420"/>
        <w:rPr>
          <w:rStyle w:val="29"/>
          <w:b w:val="0"/>
          <w:bCs w:val="0"/>
        </w:rPr>
      </w:pPr>
      <w:r>
        <w:rPr>
          <w:rStyle w:val="29"/>
          <w:rFonts w:hint="eastAsia"/>
          <w:b w:val="0"/>
          <w:bCs w:val="0"/>
        </w:rPr>
        <w:t>标准化病原体丰度是指对病原体检测数据校正偏差后得出的相对丰度，用于消除样本差异，便于跨样本和实验比较，更准确反映病原体实际存在水平。</w:t>
      </w:r>
    </w:p>
    <w:p w14:paraId="304BCEFB">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3.8  </w:t>
      </w:r>
    </w:p>
    <w:p w14:paraId="1FC13118">
      <w:pPr>
        <w:pStyle w:val="56"/>
        <w:ind w:firstLine="420"/>
        <w:rPr>
          <w:rStyle w:val="29"/>
          <w:rFonts w:ascii="黑体" w:hAnsi="黑体" w:eastAsia="黑体" w:cs="黑体"/>
          <w:b w:val="0"/>
          <w:bCs w:val="0"/>
        </w:rPr>
      </w:pPr>
      <w:r>
        <w:rPr>
          <w:rStyle w:val="29"/>
          <w:rFonts w:hint="eastAsia" w:ascii="黑体" w:hAnsi="黑体" w:eastAsia="黑体" w:cs="黑体"/>
          <w:b w:val="0"/>
          <w:bCs w:val="0"/>
        </w:rPr>
        <w:t>标准化病原体丰度评分  normalized Pathogen Abundance Score,NPAS</w:t>
      </w:r>
    </w:p>
    <w:p w14:paraId="1DA32A29">
      <w:pPr>
        <w:pStyle w:val="56"/>
        <w:ind w:firstLine="420"/>
        <w:rPr>
          <w:rStyle w:val="29"/>
          <w:b w:val="0"/>
          <w:bCs w:val="0"/>
        </w:rPr>
      </w:pPr>
      <w:r>
        <w:rPr>
          <w:rStyle w:val="29"/>
          <w:rFonts w:hint="eastAsia"/>
          <w:b w:val="0"/>
          <w:bCs w:val="0"/>
        </w:rPr>
        <w:t>标准化病原体丰度评分，用于评估病原体与感染的相关性。</w:t>
      </w:r>
    </w:p>
    <w:p w14:paraId="43A4D996">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3.9  </w:t>
      </w:r>
    </w:p>
    <w:p w14:paraId="5897081B">
      <w:pPr>
        <w:pStyle w:val="56"/>
        <w:ind w:firstLine="420"/>
        <w:rPr>
          <w:rStyle w:val="29"/>
          <w:rFonts w:ascii="黑体" w:hAnsi="黑体" w:eastAsia="黑体" w:cs="黑体"/>
          <w:b w:val="0"/>
          <w:bCs w:val="0"/>
        </w:rPr>
      </w:pPr>
      <w:r>
        <w:rPr>
          <w:rStyle w:val="29"/>
          <w:rFonts w:hint="eastAsia" w:ascii="黑体" w:hAnsi="黑体" w:eastAsia="黑体" w:cs="黑体"/>
          <w:b w:val="0"/>
          <w:bCs w:val="0"/>
        </w:rPr>
        <w:t>碱基覆盖度  base_coverage</w:t>
      </w:r>
    </w:p>
    <w:p w14:paraId="3019A29C">
      <w:pPr>
        <w:pStyle w:val="56"/>
        <w:ind w:firstLine="420"/>
        <w:rPr>
          <w:rStyle w:val="29"/>
          <w:b w:val="0"/>
          <w:bCs w:val="0"/>
        </w:rPr>
      </w:pPr>
      <w:r>
        <w:rPr>
          <w:rStyle w:val="29"/>
          <w:rFonts w:hint="eastAsia"/>
          <w:b w:val="0"/>
          <w:bCs w:val="0"/>
        </w:rPr>
        <w:t>参考基因组中被测序reads覆盖的碱基数（无论覆盖深度）与总碱基数之比。</w:t>
      </w:r>
    </w:p>
    <w:p w14:paraId="39DE4995">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3.10  </w:t>
      </w:r>
    </w:p>
    <w:p w14:paraId="01D5D8FA">
      <w:pPr>
        <w:pStyle w:val="56"/>
        <w:ind w:firstLine="420"/>
        <w:rPr>
          <w:rStyle w:val="29"/>
          <w:rFonts w:ascii="黑体" w:hAnsi="黑体" w:eastAsia="黑体" w:cs="黑体"/>
          <w:b w:val="0"/>
          <w:bCs w:val="0"/>
        </w:rPr>
      </w:pPr>
      <w:r>
        <w:rPr>
          <w:rStyle w:val="29"/>
          <w:rFonts w:hint="eastAsia" w:ascii="黑体" w:hAnsi="黑体" w:eastAsia="黑体" w:cs="黑体"/>
          <w:b w:val="0"/>
          <w:bCs w:val="0"/>
        </w:rPr>
        <w:t>序列覆盖度  sequences_coverage</w:t>
      </w:r>
    </w:p>
    <w:p w14:paraId="03F4F7F3">
      <w:pPr>
        <w:pStyle w:val="56"/>
        <w:ind w:firstLine="420"/>
        <w:rPr>
          <w:rStyle w:val="29"/>
          <w:b w:val="0"/>
          <w:bCs w:val="0"/>
        </w:rPr>
      </w:pPr>
      <w:r>
        <w:rPr>
          <w:rStyle w:val="29"/>
          <w:rFonts w:hint="eastAsia"/>
          <w:b w:val="0"/>
          <w:bCs w:val="0"/>
        </w:rPr>
        <w:t>参考基因组中被测序 reads 覆盖的序列数（无论碱基覆盖度）与总序列数之比。</w:t>
      </w:r>
    </w:p>
    <w:p w14:paraId="5F1E5D0B">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3.11  </w:t>
      </w:r>
    </w:p>
    <w:p w14:paraId="3688191C">
      <w:pPr>
        <w:pStyle w:val="56"/>
        <w:ind w:firstLine="420"/>
        <w:rPr>
          <w:rStyle w:val="29"/>
          <w:rFonts w:ascii="黑体" w:hAnsi="黑体" w:eastAsia="黑体" w:cs="黑体"/>
          <w:b w:val="0"/>
          <w:bCs w:val="0"/>
        </w:rPr>
      </w:pPr>
      <w:r>
        <w:rPr>
          <w:rStyle w:val="29"/>
          <w:rFonts w:hint="eastAsia" w:ascii="黑体" w:hAnsi="黑体" w:eastAsia="黑体" w:cs="黑体"/>
          <w:b w:val="0"/>
          <w:bCs w:val="0"/>
        </w:rPr>
        <w:t>假阳性率  false positive rate</w:t>
      </w:r>
    </w:p>
    <w:p w14:paraId="4D10AC7A">
      <w:pPr>
        <w:pStyle w:val="56"/>
        <w:ind w:firstLine="420"/>
        <w:rPr>
          <w:rStyle w:val="29"/>
          <w:b w:val="0"/>
          <w:bCs w:val="0"/>
        </w:rPr>
      </w:pPr>
      <w:r>
        <w:rPr>
          <w:rStyle w:val="29"/>
          <w:rFonts w:hint="eastAsia"/>
          <w:b w:val="0"/>
          <w:bCs w:val="0"/>
        </w:rPr>
        <w:t>检测结果为阳性但实际未感染该病原体的比例（%）。</w:t>
      </w:r>
    </w:p>
    <w:p w14:paraId="0B5840D8">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3.12  </w:t>
      </w:r>
    </w:p>
    <w:p w14:paraId="41197B9D">
      <w:pPr>
        <w:pStyle w:val="56"/>
        <w:ind w:firstLine="420"/>
        <w:rPr>
          <w:rStyle w:val="29"/>
          <w:rFonts w:ascii="黑体" w:hAnsi="黑体" w:eastAsia="黑体" w:cs="黑体"/>
          <w:b w:val="0"/>
          <w:bCs w:val="0"/>
        </w:rPr>
      </w:pPr>
      <w:r>
        <w:rPr>
          <w:rStyle w:val="29"/>
          <w:rFonts w:hint="eastAsia" w:ascii="黑体" w:hAnsi="黑体" w:eastAsia="黑体" w:cs="黑体"/>
          <w:b w:val="0"/>
          <w:bCs w:val="0"/>
        </w:rPr>
        <w:t>假阴性率  false negative rate</w:t>
      </w:r>
    </w:p>
    <w:p w14:paraId="704545DF">
      <w:pPr>
        <w:pStyle w:val="56"/>
        <w:ind w:firstLine="420"/>
        <w:rPr>
          <w:rStyle w:val="29"/>
          <w:b w:val="0"/>
          <w:bCs w:val="0"/>
        </w:rPr>
      </w:pPr>
      <w:r>
        <w:rPr>
          <w:rStyle w:val="29"/>
          <w:rFonts w:hint="eastAsia"/>
          <w:b w:val="0"/>
          <w:bCs w:val="0"/>
        </w:rPr>
        <w:t>检测结果为阴性但实际感染该病原体的比例（%）。</w:t>
      </w:r>
    </w:p>
    <w:p w14:paraId="3060D3F1">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 xml:space="preserve">3.13  </w:t>
      </w:r>
    </w:p>
    <w:p w14:paraId="0609F165">
      <w:pPr>
        <w:pStyle w:val="56"/>
        <w:ind w:firstLine="420"/>
        <w:rPr>
          <w:rStyle w:val="29"/>
          <w:rFonts w:ascii="黑体" w:hAnsi="黑体" w:eastAsia="黑体" w:cs="黑体"/>
          <w:b w:val="0"/>
          <w:bCs w:val="0"/>
        </w:rPr>
      </w:pPr>
      <w:r>
        <w:rPr>
          <w:rStyle w:val="29"/>
          <w:rFonts w:hint="eastAsia" w:ascii="黑体" w:hAnsi="黑体" w:eastAsia="黑体" w:cs="黑体"/>
          <w:b w:val="0"/>
          <w:bCs w:val="0"/>
        </w:rPr>
        <w:t>重复序列  duplicate reads</w:t>
      </w:r>
    </w:p>
    <w:p w14:paraId="6A6AD80B">
      <w:pPr>
        <w:pStyle w:val="56"/>
        <w:ind w:firstLine="420"/>
      </w:pPr>
      <w:r>
        <w:rPr>
          <w:rStyle w:val="29"/>
          <w:rFonts w:hint="eastAsia"/>
          <w:b w:val="0"/>
          <w:bCs w:val="0"/>
        </w:rPr>
        <w:t>测序过程中产生的序列完全相同或高度相似的冗余 reads。</w:t>
      </w:r>
    </w:p>
    <w:p w14:paraId="63C5EB9C">
      <w:pPr>
        <w:pStyle w:val="104"/>
        <w:spacing w:before="240" w:after="240"/>
        <w:rPr>
          <w:rStyle w:val="29"/>
          <w:rFonts w:hAnsi="黑体" w:cs="黑体"/>
          <w:b w:val="0"/>
          <w:bCs w:val="0"/>
        </w:rPr>
      </w:pPr>
      <w:bookmarkStart w:id="40" w:name="_Toc8030"/>
      <w:bookmarkStart w:id="41" w:name="_Toc28277"/>
      <w:r>
        <w:rPr>
          <w:rStyle w:val="29"/>
          <w:rFonts w:hint="eastAsia" w:hAnsi="黑体" w:cs="黑体"/>
          <w:b w:val="0"/>
          <w:bCs w:val="0"/>
        </w:rPr>
        <w:t>分析全流程框架</w:t>
      </w:r>
      <w:bookmarkEnd w:id="40"/>
      <w:bookmarkEnd w:id="41"/>
    </w:p>
    <w:p w14:paraId="1DD826BD">
      <w:pPr>
        <w:pStyle w:val="105"/>
        <w:spacing w:before="120" w:after="120"/>
      </w:pPr>
      <w:r>
        <w:rPr>
          <w:rFonts w:hint="eastAsia"/>
        </w:rPr>
        <w:t>系统流程</w:t>
      </w:r>
    </w:p>
    <w:p w14:paraId="05D60B09">
      <w:pPr>
        <w:pStyle w:val="56"/>
        <w:spacing w:beforeLines="50" w:afterLines="50"/>
        <w:ind w:firstLine="420"/>
        <w:rPr>
          <w:rStyle w:val="29"/>
          <w:rFonts w:ascii="宋体" w:hAnsi="宋体"/>
          <w:b w:val="0"/>
          <w:bCs w:val="0"/>
          <w:color w:val="0070C0"/>
        </w:rPr>
      </w:pPr>
      <w:r>
        <w:rPr>
          <w:rStyle w:val="29"/>
          <w:rFonts w:hint="eastAsia" w:ascii="宋体" w:hAnsi="宋体"/>
          <w:b w:val="0"/>
          <w:bCs w:val="0"/>
          <w:color w:val="0070C0"/>
        </w:rPr>
        <w:t>HPD-Kit 数据分析遵循“质控→去宿主→初步分类（病原体分类详见附录B）→精细比对→相似性验证→评分→报告”的系统流程，旨在从海量测序数据中准确识别与感染相关的病原体。</w:t>
      </w:r>
    </w:p>
    <w:p w14:paraId="269BFA0E">
      <w:pPr>
        <w:pStyle w:val="105"/>
        <w:spacing w:before="120" w:after="120"/>
        <w:rPr>
          <w:rStyle w:val="29"/>
          <w:rFonts w:hAnsi="黑体" w:cs="黑体"/>
          <w:b w:val="0"/>
          <w:bCs w:val="0"/>
        </w:rPr>
      </w:pPr>
      <w:r>
        <w:rPr>
          <w:rStyle w:val="29"/>
          <w:rFonts w:hint="eastAsia" w:hAnsi="黑体" w:cs="黑体"/>
          <w:b w:val="0"/>
          <w:bCs w:val="0"/>
        </w:rPr>
        <w:t>输入数据格式要求</w:t>
      </w:r>
    </w:p>
    <w:p w14:paraId="6641065E">
      <w:pPr>
        <w:pStyle w:val="165"/>
        <w:rPr>
          <w:rStyle w:val="29"/>
          <w:rFonts w:hAnsi="宋体"/>
          <w:b w:val="0"/>
          <w:bCs w:val="0"/>
        </w:rPr>
      </w:pPr>
      <w:r>
        <w:rPr>
          <w:rStyle w:val="29"/>
          <w:rFonts w:hint="eastAsia" w:hAnsi="宋体"/>
          <w:b w:val="0"/>
          <w:bCs w:val="0"/>
        </w:rPr>
        <w:t>应为双端或单端 FASTQ 文件，符合 Illumina 等主流测序平台数据格式。</w:t>
      </w:r>
    </w:p>
    <w:p w14:paraId="0A9F6C2F">
      <w:pPr>
        <w:pStyle w:val="165"/>
        <w:rPr>
          <w:rStyle w:val="29"/>
          <w:rFonts w:hAnsi="宋体"/>
          <w:b w:val="0"/>
          <w:bCs w:val="0"/>
        </w:rPr>
      </w:pPr>
      <w:r>
        <w:rPr>
          <w:rStyle w:val="29"/>
          <w:rFonts w:hint="eastAsia" w:hAnsi="宋体"/>
          <w:b w:val="0"/>
          <w:bCs w:val="0"/>
        </w:rPr>
        <w:t>需同时提供原始测序数据及相应的质量信息文件。</w:t>
      </w:r>
    </w:p>
    <w:p w14:paraId="28180AFF">
      <w:pPr>
        <w:pStyle w:val="105"/>
        <w:spacing w:before="120" w:after="120"/>
        <w:rPr>
          <w:rStyle w:val="29"/>
          <w:rFonts w:hAnsi="黑体" w:cs="黑体"/>
          <w:b w:val="0"/>
          <w:bCs w:val="0"/>
        </w:rPr>
      </w:pPr>
      <w:r>
        <w:rPr>
          <w:rStyle w:val="29"/>
          <w:rFonts w:hint="eastAsia" w:hAnsi="黑体" w:cs="黑体"/>
          <w:b w:val="0"/>
          <w:bCs w:val="0"/>
        </w:rPr>
        <w:t>核心分析步骤</w:t>
      </w:r>
    </w:p>
    <w:p w14:paraId="57E7BBC2">
      <w:pPr>
        <w:pStyle w:val="56"/>
        <w:spacing w:beforeLines="50" w:afterLines="50"/>
        <w:ind w:firstLine="420"/>
        <w:rPr>
          <w:rStyle w:val="29"/>
          <w:rFonts w:ascii="宋体" w:hAnsi="宋体"/>
          <w:b w:val="0"/>
          <w:bCs w:val="0"/>
        </w:rPr>
      </w:pPr>
      <w:r>
        <w:rPr>
          <w:rStyle w:val="29"/>
          <w:rFonts w:hint="eastAsia" w:ascii="宋体" w:hAnsi="宋体"/>
          <w:b w:val="0"/>
          <w:bCs w:val="0"/>
        </w:rPr>
        <w:t>流程包括6个关键步骤，每一步均明确操作程序、质控判断标准及异常情况处理</w:t>
      </w:r>
      <w:r>
        <w:rPr>
          <w:rStyle w:val="29"/>
          <w:rFonts w:hint="eastAsia" w:ascii="宋体" w:hAnsi="宋体"/>
          <w:b w:val="0"/>
          <w:bCs w:val="0"/>
          <w:color w:val="000000" w:themeColor="text1"/>
          <w14:textFill>
            <w14:solidFill>
              <w14:schemeClr w14:val="tx1"/>
            </w14:solidFill>
          </w14:textFill>
        </w:rPr>
        <w:t>方式（详见附录C）。</w:t>
      </w:r>
    </w:p>
    <w:p w14:paraId="7F2281C3">
      <w:pPr>
        <w:pStyle w:val="105"/>
        <w:spacing w:before="120" w:after="120"/>
        <w:rPr>
          <w:rStyle w:val="29"/>
          <w:rFonts w:hAnsi="黑体" w:cs="黑体"/>
          <w:b w:val="0"/>
          <w:bCs w:val="0"/>
        </w:rPr>
      </w:pPr>
      <w:r>
        <w:rPr>
          <w:rStyle w:val="29"/>
          <w:rFonts w:hint="eastAsia" w:hAnsi="黑体" w:cs="黑体"/>
          <w:b w:val="0"/>
          <w:bCs w:val="0"/>
        </w:rPr>
        <w:t>输出结果</w:t>
      </w:r>
    </w:p>
    <w:p w14:paraId="0A094F42">
      <w:pPr>
        <w:pStyle w:val="165"/>
        <w:rPr>
          <w:rStyle w:val="29"/>
          <w:rFonts w:hAnsi="宋体"/>
          <w:b w:val="0"/>
          <w:bCs w:val="0"/>
          <w:color w:val="000000" w:themeColor="text1"/>
          <w14:textFill>
            <w14:solidFill>
              <w14:schemeClr w14:val="tx1"/>
            </w14:solidFill>
          </w14:textFill>
        </w:rPr>
      </w:pPr>
      <w:r>
        <w:rPr>
          <w:rStyle w:val="29"/>
          <w:rFonts w:hint="eastAsia" w:hAnsi="宋体"/>
          <w:b w:val="0"/>
          <w:bCs w:val="0"/>
          <w:color w:val="000000" w:themeColor="text1"/>
          <w14:textFill>
            <w14:solidFill>
              <w14:schemeClr w14:val="tx1"/>
            </w14:solidFill>
          </w14:textFill>
        </w:rPr>
        <w:t>生成标准化的 NPAS</w:t>
      </w:r>
      <w:r>
        <w:rPr>
          <w:rStyle w:val="29"/>
          <w:rFonts w:hAnsi="宋体"/>
          <w:b w:val="0"/>
          <w:bCs w:val="0"/>
          <w:color w:val="000000" w:themeColor="text1"/>
          <w14:textFill>
            <w14:solidFill>
              <w14:schemeClr w14:val="tx1"/>
            </w14:solidFill>
          </w14:textFill>
        </w:rPr>
        <w:t>分级标准评价表</w:t>
      </w:r>
      <w:r>
        <w:rPr>
          <w:rStyle w:val="29"/>
          <w:rFonts w:hint="eastAsia" w:hAnsi="宋体"/>
          <w:b w:val="0"/>
          <w:bCs w:val="0"/>
          <w:color w:val="000000" w:themeColor="text1"/>
          <w14:textFill>
            <w14:solidFill>
              <w14:schemeClr w14:val="tx1"/>
            </w14:solidFill>
          </w14:textFill>
        </w:rPr>
        <w:t>（详见附录D）。</w:t>
      </w:r>
    </w:p>
    <w:p w14:paraId="5D4C8779">
      <w:pPr>
        <w:pStyle w:val="165"/>
        <w:rPr>
          <w:rStyle w:val="29"/>
          <w:b w:val="0"/>
          <w:bCs w:val="0"/>
          <w:color w:val="000000" w:themeColor="text1"/>
          <w14:textFill>
            <w14:solidFill>
              <w14:schemeClr w14:val="tx1"/>
            </w14:solidFill>
          </w14:textFill>
        </w:rPr>
      </w:pPr>
      <w:r>
        <w:rPr>
          <w:rStyle w:val="29"/>
          <w:rFonts w:hint="eastAsia" w:ascii="Times New Roman"/>
          <w:b w:val="0"/>
          <w:bCs w:val="0"/>
          <w:color w:val="000000" w:themeColor="text1"/>
          <w14:textFill>
            <w14:solidFill>
              <w14:schemeClr w14:val="tx1"/>
            </w14:solidFill>
          </w14:textFill>
        </w:rPr>
        <w:t>附有基于评分的临床处置建议（详见附录</w:t>
      </w:r>
      <w:r>
        <w:rPr>
          <w:rStyle w:val="29"/>
          <w:rFonts w:hint="eastAsia"/>
          <w:b w:val="0"/>
          <w:bCs w:val="0"/>
          <w:color w:val="000000" w:themeColor="text1"/>
          <w14:textFill>
            <w14:solidFill>
              <w14:schemeClr w14:val="tx1"/>
            </w14:solidFill>
          </w14:textFill>
        </w:rPr>
        <w:t>D</w:t>
      </w:r>
      <w:r>
        <w:rPr>
          <w:rStyle w:val="29"/>
          <w:rFonts w:hint="eastAsia" w:ascii="Times New Roman"/>
          <w:b w:val="0"/>
          <w:bCs w:val="0"/>
          <w:color w:val="000000" w:themeColor="text1"/>
          <w14:textFill>
            <w14:solidFill>
              <w14:schemeClr w14:val="tx1"/>
            </w14:solidFill>
          </w14:textFill>
        </w:rPr>
        <w:t>）。</w:t>
      </w:r>
    </w:p>
    <w:p w14:paraId="2AFBF60C">
      <w:pPr>
        <w:pStyle w:val="104"/>
        <w:spacing w:before="240" w:after="240"/>
        <w:rPr>
          <w:rStyle w:val="29"/>
          <w:rFonts w:hAnsi="黑体" w:cs="黑体"/>
          <w:b w:val="0"/>
          <w:bCs w:val="0"/>
        </w:rPr>
      </w:pPr>
      <w:bookmarkStart w:id="42" w:name="_Toc8777"/>
      <w:bookmarkStart w:id="43" w:name="_Toc31294"/>
      <w:r>
        <w:rPr>
          <w:rStyle w:val="29"/>
          <w:rFonts w:hint="eastAsia" w:hAnsi="黑体" w:cs="黑体"/>
          <w:b w:val="0"/>
          <w:bCs w:val="0"/>
        </w:rPr>
        <w:t>技术性能要求</w:t>
      </w:r>
      <w:bookmarkEnd w:id="42"/>
      <w:bookmarkEnd w:id="43"/>
    </w:p>
    <w:p w14:paraId="57FFA12A">
      <w:pPr>
        <w:pStyle w:val="105"/>
        <w:spacing w:before="120" w:after="120"/>
        <w:rPr>
          <w:rStyle w:val="29"/>
          <w:rFonts w:hAnsi="黑体" w:cs="黑体"/>
          <w:b w:val="0"/>
          <w:bCs w:val="0"/>
        </w:rPr>
      </w:pPr>
      <w:r>
        <w:rPr>
          <w:rStyle w:val="29"/>
          <w:rFonts w:hint="eastAsia" w:hAnsi="黑体" w:cs="黑体"/>
          <w:b w:val="0"/>
          <w:bCs w:val="0"/>
        </w:rPr>
        <w:t>数据来源</w:t>
      </w:r>
    </w:p>
    <w:p w14:paraId="0F5F53D4">
      <w:pPr>
        <w:pStyle w:val="165"/>
        <w:rPr>
          <w:rStyle w:val="29"/>
          <w:b w:val="0"/>
          <w:bCs w:val="0"/>
        </w:rPr>
      </w:pPr>
      <w:r>
        <w:rPr>
          <w:rStyle w:val="29"/>
          <w:rFonts w:hint="eastAsia"/>
          <w:b w:val="0"/>
          <w:bCs w:val="0"/>
        </w:rPr>
        <w:t>用户自有测序数据。</w:t>
      </w:r>
    </w:p>
    <w:p w14:paraId="1AF1C7C7">
      <w:pPr>
        <w:pStyle w:val="165"/>
        <w:rPr>
          <w:rStyle w:val="29"/>
          <w:b w:val="0"/>
          <w:bCs w:val="0"/>
        </w:rPr>
      </w:pPr>
      <w:r>
        <w:rPr>
          <w:rStyle w:val="29"/>
          <w:rFonts w:hint="eastAsia"/>
          <w:b w:val="0"/>
          <w:bCs w:val="0"/>
        </w:rPr>
        <w:t>公共权威数据库（如 NCBI Virus、PHI-base、VEuPathDB、BV-BRC 等）及科学文献中收录的病原体信息（包括分类编号、名称、宿主、致病性等）。</w:t>
      </w:r>
    </w:p>
    <w:p w14:paraId="20824252">
      <w:pPr>
        <w:pStyle w:val="105"/>
        <w:spacing w:before="120" w:after="120"/>
        <w:rPr>
          <w:rStyle w:val="29"/>
          <w:rFonts w:hAnsi="黑体" w:cs="黑体"/>
          <w:b w:val="0"/>
          <w:bCs w:val="0"/>
        </w:rPr>
      </w:pPr>
      <w:r>
        <w:rPr>
          <w:rStyle w:val="29"/>
          <w:rFonts w:hint="eastAsia" w:hAnsi="黑体" w:cs="黑体"/>
          <w:b w:val="0"/>
          <w:bCs w:val="0"/>
        </w:rPr>
        <w:t>数据整合</w:t>
      </w:r>
    </w:p>
    <w:p w14:paraId="63B17331">
      <w:pPr>
        <w:pStyle w:val="165"/>
        <w:rPr>
          <w:rStyle w:val="29"/>
          <w:b w:val="0"/>
          <w:bCs w:val="0"/>
        </w:rPr>
      </w:pPr>
      <w:r>
        <w:rPr>
          <w:rStyle w:val="29"/>
          <w:rFonts w:hint="eastAsia"/>
          <w:b w:val="0"/>
          <w:bCs w:val="0"/>
        </w:rPr>
        <w:t>对同一分类编号（TaxID）的病原体信息进行合并，删除冗余记录。</w:t>
      </w:r>
    </w:p>
    <w:p w14:paraId="0CB77110">
      <w:pPr>
        <w:pStyle w:val="165"/>
        <w:rPr>
          <w:rStyle w:val="29"/>
        </w:rPr>
      </w:pPr>
      <w:r>
        <w:rPr>
          <w:rStyle w:val="29"/>
          <w:rFonts w:hint="eastAsia"/>
          <w:b w:val="0"/>
          <w:bCs w:val="0"/>
        </w:rPr>
        <w:t>依据 TaxID 获取物种级参考基因组的元数据及序列文件。</w:t>
      </w:r>
    </w:p>
    <w:p w14:paraId="3042969A">
      <w:pPr>
        <w:pStyle w:val="105"/>
        <w:spacing w:before="120" w:after="120"/>
        <w:rPr>
          <w:rStyle w:val="29"/>
          <w:rFonts w:hAnsi="黑体" w:cs="黑体"/>
          <w:b w:val="0"/>
          <w:bCs w:val="0"/>
        </w:rPr>
      </w:pPr>
      <w:r>
        <w:rPr>
          <w:rStyle w:val="29"/>
          <w:rFonts w:hint="eastAsia" w:hAnsi="黑体" w:cs="黑体"/>
          <w:b w:val="0"/>
          <w:bCs w:val="0"/>
        </w:rPr>
        <w:t>非冗余筛选</w:t>
      </w:r>
    </w:p>
    <w:p w14:paraId="623EEF54">
      <w:pPr>
        <w:pStyle w:val="56"/>
        <w:ind w:firstLine="420"/>
        <w:rPr>
          <w:rStyle w:val="29"/>
          <w:rFonts w:ascii="宋体" w:hAnsi="宋体"/>
          <w:b w:val="0"/>
          <w:bCs w:val="0"/>
        </w:rPr>
      </w:pPr>
      <w:r>
        <w:rPr>
          <w:rStyle w:val="29"/>
          <w:rFonts w:hint="eastAsia" w:ascii="宋体" w:hAnsi="宋体"/>
          <w:b w:val="0"/>
          <w:bCs w:val="0"/>
        </w:rPr>
        <w:t>每个物种（对应一个 TaxID）仅保留 1 个参考基因组，筛选优先级依次为：</w:t>
      </w:r>
    </w:p>
    <w:p w14:paraId="2BF5447E">
      <w:pPr>
        <w:pStyle w:val="174"/>
        <w:rPr>
          <w:rStyle w:val="29"/>
          <w:rFonts w:hAnsi="宋体"/>
          <w:b w:val="0"/>
          <w:bCs w:val="0"/>
        </w:rPr>
      </w:pPr>
      <w:r>
        <w:rPr>
          <w:rStyle w:val="29"/>
          <w:rFonts w:hint="eastAsia" w:hAnsi="宋体"/>
          <w:b w:val="0"/>
          <w:bCs w:val="0"/>
        </w:rPr>
        <w:t>RefSeq 中标注为“reference genome”的基因组；</w:t>
      </w:r>
    </w:p>
    <w:p w14:paraId="2A2C3B4E">
      <w:pPr>
        <w:pStyle w:val="174"/>
        <w:rPr>
          <w:rStyle w:val="29"/>
          <w:rFonts w:hAnsi="宋体"/>
          <w:b w:val="0"/>
          <w:bCs w:val="0"/>
        </w:rPr>
      </w:pPr>
      <w:r>
        <w:rPr>
          <w:rStyle w:val="29"/>
          <w:rFonts w:hint="eastAsia" w:hAnsi="宋体"/>
          <w:b w:val="0"/>
          <w:bCs w:val="0"/>
        </w:rPr>
        <w:t>若无 RefSeq 记录，则按组装完整度降序选取（Complete &gt; Chromosome &gt; Scaffold &gt; Contig）；</w:t>
      </w:r>
    </w:p>
    <w:p w14:paraId="54193C0B">
      <w:pPr>
        <w:pStyle w:val="174"/>
        <w:rPr>
          <w:rStyle w:val="29"/>
          <w:rFonts w:hAnsi="宋体"/>
          <w:b w:val="0"/>
          <w:bCs w:val="0"/>
        </w:rPr>
      </w:pPr>
      <w:r>
        <w:rPr>
          <w:rStyle w:val="29"/>
          <w:rFonts w:hint="eastAsia" w:hAnsi="宋体"/>
          <w:b w:val="0"/>
          <w:bCs w:val="0"/>
        </w:rPr>
        <w:t>对于变异率较高的物种（如 RNA 病毒、耐药细菌），可根据物种特性增加参考基因组数量（最多不超过 3 个），优先选择代表性变异株及本地流行株的基因组。</w:t>
      </w:r>
    </w:p>
    <w:p w14:paraId="325650AF">
      <w:pPr>
        <w:pStyle w:val="105"/>
        <w:spacing w:before="120" w:after="120"/>
        <w:rPr>
          <w:rStyle w:val="29"/>
          <w:rFonts w:hAnsi="黑体" w:cs="黑体"/>
          <w:b w:val="0"/>
          <w:bCs w:val="0"/>
        </w:rPr>
      </w:pPr>
      <w:r>
        <w:rPr>
          <w:rStyle w:val="29"/>
          <w:rFonts w:hint="eastAsia" w:hAnsi="黑体" w:cs="黑体"/>
          <w:b w:val="0"/>
          <w:bCs w:val="0"/>
        </w:rPr>
        <w:t>索引构建</w:t>
      </w:r>
    </w:p>
    <w:p w14:paraId="2AE61718">
      <w:pPr>
        <w:pStyle w:val="56"/>
        <w:ind w:firstLine="420"/>
        <w:rPr>
          <w:rStyle w:val="29"/>
          <w:rFonts w:ascii="宋体" w:hAnsi="宋体"/>
          <w:b w:val="0"/>
          <w:bCs w:val="0"/>
        </w:rPr>
      </w:pPr>
      <w:r>
        <w:rPr>
          <w:rStyle w:val="29"/>
          <w:rFonts w:hint="eastAsia" w:ascii="宋体" w:hAnsi="宋体"/>
          <w:b w:val="0"/>
          <w:bCs w:val="0"/>
        </w:rPr>
        <w:t>须构建适用于 Kraken2、Bowtie2、BLAST 等主流分析工具的索引文件，保障分析流程的高效调用与兼容性。</w:t>
      </w:r>
    </w:p>
    <w:p w14:paraId="17774C89">
      <w:pPr>
        <w:pStyle w:val="105"/>
        <w:spacing w:before="120" w:after="120"/>
        <w:rPr>
          <w:rStyle w:val="29"/>
          <w:rFonts w:hAnsi="黑体" w:cs="黑体"/>
          <w:b w:val="0"/>
          <w:bCs w:val="0"/>
        </w:rPr>
      </w:pPr>
      <w:r>
        <w:rPr>
          <w:rStyle w:val="29"/>
          <w:rFonts w:hint="eastAsia" w:hAnsi="黑体" w:cs="黑体"/>
          <w:b w:val="0"/>
          <w:bCs w:val="0"/>
        </w:rPr>
        <w:t>更新频率</w:t>
      </w:r>
    </w:p>
    <w:p w14:paraId="49B79197">
      <w:pPr>
        <w:pStyle w:val="165"/>
        <w:rPr>
          <w:rStyle w:val="29"/>
          <w:b w:val="0"/>
          <w:bCs w:val="0"/>
        </w:rPr>
      </w:pPr>
      <w:r>
        <w:rPr>
          <w:rStyle w:val="29"/>
          <w:rFonts w:hint="eastAsia"/>
          <w:b w:val="0"/>
          <w:bCs w:val="0"/>
        </w:rPr>
        <w:t>病毒数据库：每季度同步更新 NCBI GenBank / GISAID 数据。</w:t>
      </w:r>
    </w:p>
    <w:p w14:paraId="645C143D">
      <w:pPr>
        <w:pStyle w:val="165"/>
        <w:rPr>
          <w:rStyle w:val="29"/>
          <w:b w:val="0"/>
          <w:bCs w:val="0"/>
        </w:rPr>
      </w:pPr>
      <w:r>
        <w:rPr>
          <w:rStyle w:val="29"/>
          <w:rFonts w:hint="eastAsia"/>
          <w:b w:val="0"/>
          <w:bCs w:val="0"/>
        </w:rPr>
        <w:t>细菌、真菌、寄生虫数据库：数据更新延迟不超过 7 天。</w:t>
      </w:r>
    </w:p>
    <w:p w14:paraId="6A97D937">
      <w:pPr>
        <w:pStyle w:val="165"/>
        <w:rPr>
          <w:rStyle w:val="29"/>
          <w:b w:val="0"/>
          <w:bCs w:val="0"/>
        </w:rPr>
      </w:pPr>
      <w:r>
        <w:rPr>
          <w:rStyle w:val="29"/>
          <w:rFonts w:hint="eastAsia"/>
          <w:b w:val="0"/>
          <w:bCs w:val="0"/>
        </w:rPr>
        <w:t>新发变异株应在 24 小时内纳入数据库。</w:t>
      </w:r>
    </w:p>
    <w:p w14:paraId="57CE3604">
      <w:pPr>
        <w:pStyle w:val="165"/>
        <w:rPr>
          <w:rStyle w:val="29"/>
          <w:b w:val="0"/>
          <w:bCs w:val="0"/>
        </w:rPr>
      </w:pPr>
      <w:r>
        <w:rPr>
          <w:rStyle w:val="29"/>
          <w:rFonts w:hint="eastAsia"/>
          <w:b w:val="0"/>
          <w:bCs w:val="0"/>
        </w:rPr>
        <w:t>非冗余参考基因组数据库需定期进行完整性验证（每年至少1次），确保核心病原体（WHO 优先级清单所列物种）覆盖率≥99%；针对新增病原体，需验证其参考基因组的组装完整性（Contig N50≥5</w:t>
      </w:r>
      <w:r>
        <w:rPr>
          <w:rStyle w:val="29"/>
          <w:rFonts w:hint="eastAsia"/>
          <w:b w:val="0"/>
          <w:bCs w:val="0"/>
          <w:vertAlign w:val="superscript"/>
        </w:rPr>
        <w:t xml:space="preserve"> </w:t>
      </w:r>
      <w:r>
        <w:rPr>
          <w:rStyle w:val="29"/>
          <w:rFonts w:hint="eastAsia"/>
          <w:b w:val="0"/>
          <w:bCs w:val="0"/>
        </w:rPr>
        <w:t>000</w:t>
      </w:r>
      <w:r>
        <w:rPr>
          <w:rStyle w:val="29"/>
          <w:rFonts w:hint="eastAsia"/>
          <w:b w:val="0"/>
          <w:bCs w:val="0"/>
          <w:vertAlign w:val="superscript"/>
        </w:rPr>
        <w:t xml:space="preserve"> </w:t>
      </w:r>
      <w:r>
        <w:rPr>
          <w:rStyle w:val="29"/>
          <w:rFonts w:hint="eastAsia"/>
          <w:b w:val="0"/>
          <w:bCs w:val="0"/>
        </w:rPr>
        <w:t>bp）及序列准确性（与模式菌株同源性≥98%）。</w:t>
      </w:r>
    </w:p>
    <w:p w14:paraId="097DA403">
      <w:pPr>
        <w:pStyle w:val="104"/>
        <w:spacing w:before="240" w:after="240"/>
        <w:rPr>
          <w:rStyle w:val="29"/>
          <w:rFonts w:hAnsi="黑体" w:cs="黑体"/>
          <w:b w:val="0"/>
          <w:bCs w:val="0"/>
        </w:rPr>
      </w:pPr>
      <w:bookmarkStart w:id="44" w:name="_Toc12442"/>
      <w:bookmarkStart w:id="45" w:name="_Toc1769"/>
      <w:bookmarkStart w:id="46" w:name="OLE_LINK5"/>
      <w:r>
        <w:rPr>
          <w:rStyle w:val="29"/>
          <w:rFonts w:hint="eastAsia" w:hAnsi="黑体" w:cs="黑体"/>
          <w:b w:val="0"/>
          <w:bCs w:val="0"/>
        </w:rPr>
        <w:t>数据分析性能要求</w:t>
      </w:r>
    </w:p>
    <w:p w14:paraId="35208202">
      <w:pPr>
        <w:pStyle w:val="56"/>
        <w:ind w:firstLine="420"/>
        <w:rPr>
          <w:rStyle w:val="29"/>
          <w:rFonts w:ascii="宋体" w:hAnsi="宋体" w:cs="黑体"/>
          <w:b w:val="0"/>
          <w:bCs w:val="0"/>
        </w:rPr>
      </w:pPr>
      <w:r>
        <w:rPr>
          <w:rStyle w:val="29"/>
          <w:rFonts w:hint="eastAsia" w:ascii="宋体" w:hAnsi="宋体" w:cs="黑体"/>
          <w:b w:val="0"/>
          <w:bCs w:val="0"/>
        </w:rPr>
        <w:t>见附录E</w:t>
      </w:r>
      <w:bookmarkEnd w:id="44"/>
      <w:bookmarkEnd w:id="45"/>
      <w:bookmarkEnd w:id="46"/>
      <w:r>
        <w:rPr>
          <w:rStyle w:val="29"/>
          <w:rFonts w:hint="eastAsia" w:ascii="宋体" w:hAnsi="宋体" w:cs="黑体"/>
          <w:b w:val="0"/>
          <w:bCs w:val="0"/>
        </w:rPr>
        <w:t>。</w:t>
      </w:r>
    </w:p>
    <w:p w14:paraId="5C444019">
      <w:pPr>
        <w:pStyle w:val="104"/>
        <w:spacing w:before="240" w:after="240"/>
        <w:rPr>
          <w:rStyle w:val="29"/>
          <w:rFonts w:hAnsi="黑体" w:cs="黑体"/>
          <w:b w:val="0"/>
          <w:bCs w:val="0"/>
        </w:rPr>
      </w:pPr>
      <w:bookmarkStart w:id="47" w:name="_Toc15745"/>
      <w:bookmarkStart w:id="48" w:name="_Toc9250"/>
      <w:r>
        <w:rPr>
          <w:rStyle w:val="29"/>
          <w:rFonts w:hint="eastAsia" w:hAnsi="黑体" w:cs="黑体"/>
          <w:b w:val="0"/>
          <w:bCs w:val="0"/>
        </w:rPr>
        <w:t>云平台分析模块要求</w:t>
      </w:r>
      <w:bookmarkEnd w:id="47"/>
      <w:bookmarkEnd w:id="48"/>
    </w:p>
    <w:p w14:paraId="732BF544">
      <w:pPr>
        <w:pStyle w:val="162"/>
        <w:rPr>
          <w:rStyle w:val="29"/>
          <w:b w:val="0"/>
          <w:bCs w:val="0"/>
        </w:rPr>
      </w:pPr>
      <w:r>
        <w:rPr>
          <w:rStyle w:val="29"/>
          <w:rFonts w:hint="eastAsia"/>
          <w:b w:val="0"/>
          <w:bCs w:val="0"/>
        </w:rPr>
        <w:t>基于容器化和工作流技术的云平台分析模块（代码详见附录F）。</w:t>
      </w:r>
    </w:p>
    <w:p w14:paraId="0AA69955">
      <w:pPr>
        <w:pStyle w:val="162"/>
        <w:rPr>
          <w:rStyle w:val="29"/>
          <w:b w:val="0"/>
          <w:bCs w:val="0"/>
        </w:rPr>
      </w:pPr>
      <w:r>
        <w:rPr>
          <w:rStyle w:val="29"/>
          <w:rFonts w:hint="eastAsia"/>
          <w:b w:val="0"/>
          <w:bCs w:val="0"/>
        </w:rPr>
        <w:t>容器化部署：采用 Docker 容器技术集成分析所需的全部工具及依赖环境，确保分析环境的一致性和可复现性。</w:t>
      </w:r>
    </w:p>
    <w:p w14:paraId="27FB43C5">
      <w:pPr>
        <w:pStyle w:val="162"/>
        <w:rPr>
          <w:rStyle w:val="29"/>
          <w:b w:val="0"/>
          <w:bCs w:val="0"/>
        </w:rPr>
      </w:pPr>
      <w:r>
        <w:rPr>
          <w:rStyle w:val="29"/>
          <w:rFonts w:hint="eastAsia"/>
          <w:b w:val="0"/>
          <w:bCs w:val="0"/>
        </w:rPr>
        <w:t>流程编写与调度：使用 WDL（Workflow Description Language）编写分析流程，并通过 Cromwell 工作流管理系统进行任务调度与执行。</w:t>
      </w:r>
    </w:p>
    <w:p w14:paraId="7F75A6AC">
      <w:pPr>
        <w:pStyle w:val="162"/>
        <w:rPr>
          <w:rStyle w:val="29"/>
          <w:b w:val="0"/>
          <w:bCs w:val="0"/>
        </w:rPr>
      </w:pPr>
      <w:r>
        <w:rPr>
          <w:rStyle w:val="29"/>
          <w:rFonts w:hint="eastAsia"/>
          <w:b w:val="0"/>
          <w:bCs w:val="0"/>
        </w:rPr>
        <w:t>用户交互界面：提供 Web 端交互界面，支持用户上传 FASTQ 格式的测序数据、设置分析参数，并实现一键式启动分析流程。</w:t>
      </w:r>
    </w:p>
    <w:p w14:paraId="643A0134">
      <w:pPr>
        <w:pStyle w:val="162"/>
        <w:rPr>
          <w:rStyle w:val="29"/>
        </w:rPr>
      </w:pPr>
      <w:r>
        <w:rPr>
          <w:rStyle w:val="29"/>
          <w:rFonts w:hint="eastAsia"/>
          <w:b w:val="0"/>
          <w:bCs w:val="0"/>
        </w:rPr>
        <w:t>性能与兼容性：支持单端与双端测序数据输入；具备多样本并行处理能力，允许根据计算资源灵活配置并发任务数。</w:t>
      </w:r>
    </w:p>
    <w:p w14:paraId="5EB85C70">
      <w:pPr>
        <w:pStyle w:val="104"/>
        <w:spacing w:before="240" w:after="240"/>
        <w:rPr>
          <w:rStyle w:val="29"/>
          <w:rFonts w:hAnsi="黑体" w:cs="黑体"/>
          <w:b w:val="0"/>
          <w:bCs w:val="0"/>
        </w:rPr>
      </w:pPr>
      <w:bookmarkStart w:id="49" w:name="_Toc18644"/>
      <w:bookmarkStart w:id="50" w:name="_Toc14348"/>
      <w:r>
        <w:rPr>
          <w:rStyle w:val="29"/>
          <w:rFonts w:hint="eastAsia" w:hAnsi="黑体" w:cs="黑体"/>
          <w:b w:val="0"/>
          <w:bCs w:val="0"/>
        </w:rPr>
        <w:t>鉴定评分公式</w:t>
      </w:r>
      <w:bookmarkEnd w:id="49"/>
      <w:bookmarkEnd w:id="50"/>
    </w:p>
    <w:p w14:paraId="2721E6E6">
      <w:pPr>
        <w:pStyle w:val="105"/>
        <w:spacing w:before="120" w:after="120"/>
        <w:rPr>
          <w:rStyle w:val="29"/>
        </w:rPr>
      </w:pPr>
      <w:r>
        <w:rPr>
          <w:rStyle w:val="29"/>
          <w:rFonts w:hint="eastAsia" w:hAnsi="黑体" w:cs="黑体"/>
          <w:b w:val="0"/>
          <w:bCs w:val="0"/>
        </w:rPr>
        <w:t>标准化病原体丰度（NPA</w:t>
      </w:r>
      <w:r>
        <w:rPr>
          <w:rStyle w:val="29"/>
          <w:rFonts w:hint="eastAsia" w:ascii="Times New Roman"/>
        </w:rPr>
        <w:t>）</w:t>
      </w:r>
    </w:p>
    <w:p w14:paraId="3327376C">
      <w:pPr>
        <w:pStyle w:val="56"/>
        <w:ind w:firstLine="420"/>
        <w:rPr>
          <w:rStyle w:val="29"/>
          <w:rFonts w:ascii="宋体" w:hAnsi="宋体"/>
          <w:b w:val="0"/>
          <w:bCs w:val="0"/>
        </w:rPr>
      </w:pPr>
      <w:r>
        <w:rPr>
          <w:rStyle w:val="29"/>
          <w:rFonts w:hint="eastAsia" w:ascii="宋体" w:hAnsi="宋体"/>
          <w:b w:val="0"/>
          <w:bCs w:val="0"/>
        </w:rPr>
        <w:t>NPA 用于量化病原体在样本中的相对丰度，计算公式如下：</w:t>
      </w:r>
    </w:p>
    <w:p w14:paraId="1AD1FF26">
      <w:pPr>
        <w:pStyle w:val="56"/>
        <w:spacing w:beforeLines="50" w:afterLines="50"/>
        <w:ind w:left="420" w:leftChars="200" w:firstLine="0" w:firstLineChars="0"/>
        <w:jc w:val="center"/>
        <w:rPr>
          <w:rStyle w:val="29"/>
          <w:rFonts w:eastAsia="微软雅黑"/>
          <w:b w:val="0"/>
          <w:bCs w:val="0"/>
        </w:rPr>
      </w:pPr>
      <w:r>
        <w:rPr>
          <w:rStyle w:val="29"/>
          <w:b w:val="0"/>
          <w:bCs w:val="0"/>
        </w:rPr>
        <w:t xml:space="preserve">NPA </w:t>
      </w:r>
      <m:oMath>
        <m:r>
          <m:rPr/>
          <w:rPr>
            <w:rFonts w:ascii="Cambria Math" w:hAnsi="Cambria Math" w:eastAsia="微软雅黑"/>
            <w:sz w:val="24"/>
            <w:szCs w:val="24"/>
          </w:rPr>
          <m:t xml:space="preserve">= </m:t>
        </m:r>
        <m:f>
          <m:fPr>
            <m:ctrlPr>
              <w:rPr>
                <w:rFonts w:ascii="Cambria Math" w:hAnsi="Cambria Math" w:eastAsia="微软雅黑"/>
                <w:i/>
                <w:sz w:val="24"/>
                <w:szCs w:val="24"/>
              </w:rPr>
            </m:ctrlPr>
          </m:fPr>
          <m:num>
            <m:r>
              <m:rPr/>
              <w:rPr>
                <w:rFonts w:ascii="Cambria Math" w:hAnsi="Cambria Math" w:eastAsia="微软雅黑"/>
                <w:sz w:val="24"/>
                <w:szCs w:val="24"/>
              </w:rPr>
              <m:t>unique_kmers × unique_reads</m:t>
            </m:r>
            <m:ctrlPr>
              <w:rPr>
                <w:rFonts w:ascii="Cambria Math" w:hAnsi="Cambria Math" w:eastAsia="微软雅黑"/>
                <w:i/>
                <w:sz w:val="24"/>
                <w:szCs w:val="24"/>
              </w:rPr>
            </m:ctrlPr>
          </m:num>
          <m:den>
            <m:r>
              <m:rPr/>
              <w:rPr>
                <w:rFonts w:ascii="Cambria Math" w:hAnsi="Cambria Math" w:eastAsia="微软雅黑"/>
                <w:sz w:val="24"/>
                <w:szCs w:val="24"/>
              </w:rPr>
              <m:t>genome_size× sample_total_reads</m:t>
            </m:r>
            <m:ctrlPr>
              <w:rPr>
                <w:rFonts w:ascii="Cambria Math" w:hAnsi="Cambria Math" w:eastAsia="微软雅黑"/>
                <w:i/>
                <w:sz w:val="24"/>
                <w:szCs w:val="24"/>
              </w:rPr>
            </m:ctrlPr>
          </m:den>
        </m:f>
        <m:r>
          <m:rPr/>
          <w:rPr>
            <w:rFonts w:ascii="Cambria Math" w:hAnsi="Cambria Math" w:eastAsia="微软雅黑"/>
            <w:sz w:val="24"/>
            <w:szCs w:val="24"/>
          </w:rPr>
          <m:t xml:space="preserve"> ×</m:t>
        </m:r>
        <m:sSup>
          <m:sSupPr>
            <m:ctrlPr>
              <w:rPr>
                <w:rFonts w:ascii="Cambria Math" w:hAnsi="Cambria Math" w:eastAsia="微软雅黑"/>
                <w:i/>
                <w:sz w:val="24"/>
                <w:szCs w:val="24"/>
              </w:rPr>
            </m:ctrlPr>
          </m:sSupPr>
          <m:e>
            <m:r>
              <m:rPr/>
              <w:rPr>
                <w:rFonts w:ascii="Cambria Math" w:hAnsi="Cambria Math" w:eastAsia="微软雅黑"/>
                <w:sz w:val="24"/>
                <w:szCs w:val="24"/>
              </w:rPr>
              <m:t xml:space="preserve"> 10</m:t>
            </m:r>
            <m:ctrlPr>
              <w:rPr>
                <w:rFonts w:ascii="Cambria Math" w:hAnsi="Cambria Math" w:eastAsia="微软雅黑"/>
                <w:i/>
                <w:sz w:val="24"/>
                <w:szCs w:val="24"/>
              </w:rPr>
            </m:ctrlPr>
          </m:e>
          <m:sup>
            <m:r>
              <m:rPr/>
              <w:rPr>
                <w:rFonts w:ascii="Cambria Math" w:hAnsi="Cambria Math" w:eastAsia="微软雅黑"/>
                <w:sz w:val="24"/>
                <w:szCs w:val="24"/>
              </w:rPr>
              <m:t>9</m:t>
            </m:r>
            <m:ctrlPr>
              <w:rPr>
                <w:rFonts w:ascii="Cambria Math" w:hAnsi="Cambria Math" w:eastAsia="微软雅黑"/>
                <w:i/>
                <w:sz w:val="24"/>
                <w:szCs w:val="24"/>
              </w:rPr>
            </m:ctrlPr>
          </m:sup>
        </m:sSup>
      </m:oMath>
      <w:r>
        <w:rPr>
          <w:rFonts w:hint="eastAsia" w:hAnsi="Cambria Math" w:eastAsia="微软雅黑"/>
          <w:sz w:val="24"/>
          <w:szCs w:val="24"/>
        </w:rPr>
        <w:t xml:space="preserve">      ··································</w:t>
      </w:r>
      <w:r>
        <w:rPr>
          <w:rFonts w:hint="eastAsia" w:hAnsi="Cambria Math" w:eastAsia="微软雅黑"/>
          <w:szCs w:val="21"/>
        </w:rPr>
        <w:t>（1）</w:t>
      </w:r>
    </w:p>
    <w:p w14:paraId="435A04B2">
      <w:pPr>
        <w:pStyle w:val="56"/>
        <w:ind w:firstLine="420"/>
        <w:rPr>
          <w:rStyle w:val="29"/>
          <w:b w:val="0"/>
          <w:bCs w:val="0"/>
        </w:rPr>
      </w:pPr>
      <w:r>
        <w:rPr>
          <w:rStyle w:val="29"/>
          <w:rFonts w:hint="eastAsia"/>
          <w:b w:val="0"/>
          <w:bCs w:val="0"/>
        </w:rPr>
        <w:t>式中：</w:t>
      </w:r>
    </w:p>
    <w:p w14:paraId="7891D712">
      <w:pPr>
        <w:pStyle w:val="132"/>
        <w:rPr>
          <w:rStyle w:val="29"/>
          <w:b w:val="0"/>
          <w:bCs w:val="0"/>
        </w:rPr>
      </w:pPr>
      <w:r>
        <w:rPr>
          <w:rStyle w:val="29"/>
          <w:rFonts w:hint="eastAsia" w:ascii="Times New Roman"/>
          <w:b w:val="0"/>
          <w:bCs w:val="0"/>
        </w:rPr>
        <w:t>unique_kmers 为样本中检测到的该物种特有 k-mer 数；</w:t>
      </w:r>
    </w:p>
    <w:p w14:paraId="00789B47">
      <w:pPr>
        <w:pStyle w:val="132"/>
        <w:rPr>
          <w:rStyle w:val="29"/>
          <w:b w:val="0"/>
          <w:bCs w:val="0"/>
        </w:rPr>
      </w:pPr>
      <w:r>
        <w:rPr>
          <w:rStyle w:val="29"/>
          <w:rFonts w:hint="eastAsia" w:ascii="Times New Roman"/>
          <w:b w:val="0"/>
          <w:bCs w:val="0"/>
        </w:rPr>
        <w:t>unique_reads 为样本中检测到的该物种特有 reads 数；</w:t>
      </w:r>
    </w:p>
    <w:p w14:paraId="673ABEF4">
      <w:pPr>
        <w:pStyle w:val="132"/>
        <w:rPr>
          <w:rStyle w:val="29"/>
          <w:b w:val="0"/>
          <w:bCs w:val="0"/>
        </w:rPr>
      </w:pPr>
      <w:r>
        <w:rPr>
          <w:rStyle w:val="29"/>
          <w:rFonts w:hint="eastAsia" w:ascii="Times New Roman"/>
          <w:b w:val="0"/>
          <w:bCs w:val="0"/>
        </w:rPr>
        <w:t>genome_size 为该物种参考基因组大小；sample_total_reads 为去除宿主后样本的总 reads 数。</w:t>
      </w:r>
    </w:p>
    <w:p w14:paraId="663140A5">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8.2  标准化病原体丰度评分（NPAS）</w:t>
      </w:r>
    </w:p>
    <w:p w14:paraId="41F14173">
      <w:pPr>
        <w:pStyle w:val="56"/>
        <w:ind w:firstLine="420"/>
        <w:rPr>
          <w:rStyle w:val="29"/>
          <w:rFonts w:ascii="宋体" w:hAnsi="宋体"/>
          <w:b w:val="0"/>
          <w:bCs w:val="0"/>
        </w:rPr>
      </w:pPr>
      <w:r>
        <w:rPr>
          <w:rStyle w:val="29"/>
          <w:rFonts w:hint="eastAsia" w:ascii="宋体" w:hAnsi="宋体"/>
          <w:b w:val="0"/>
          <w:bCs w:val="0"/>
        </w:rPr>
        <w:t>NPAS 用于评估病原体与感染的相关性，结合病例与对照样本的 NPA 值及基因组覆盖信息计算。</w:t>
      </w:r>
    </w:p>
    <w:p w14:paraId="3B528A15">
      <w:pPr>
        <w:pStyle w:val="56"/>
        <w:spacing w:beforeLines="50" w:afterLines="50"/>
        <w:ind w:firstLine="0" w:firstLineChars="0"/>
        <w:rPr>
          <w:rFonts w:ascii="宋体" w:hAnsi="宋体" w:cs="宋体"/>
          <w:color w:val="0070C0"/>
          <w:szCs w:val="21"/>
        </w:rPr>
      </w:pPr>
      <w:r>
        <w:rPr>
          <w:rStyle w:val="29"/>
          <w:rFonts w:hint="eastAsia" w:ascii="宋体" w:hAnsi="宋体"/>
          <w:b w:val="0"/>
          <w:bCs w:val="0"/>
          <w:color w:val="0070C0"/>
        </w:rPr>
        <w:t>若有对照样本，按式（2），</w:t>
      </w:r>
      <w:r>
        <w:rPr>
          <w:rStyle w:val="29"/>
          <w:rFonts w:hint="eastAsia" w:ascii="宋体" w:hAnsi="宋体"/>
          <w:b w:val="0"/>
          <w:bCs w:val="0"/>
          <w:color w:val="0070C0"/>
          <w:szCs w:val="21"/>
        </w:rPr>
        <w:t>若无对照样</w:t>
      </w:r>
      <w:r>
        <w:rPr>
          <w:rFonts w:ascii="宋体" w:hAnsi="宋体" w:cs="宋体"/>
          <w:color w:val="0070C0"/>
          <w:szCs w:val="21"/>
        </w:rPr>
        <w:t>本</w:t>
      </w:r>
      <w:r>
        <w:rPr>
          <w:rFonts w:hint="eastAsia" w:ascii="宋体" w:hAnsi="宋体" w:cs="宋体"/>
          <w:color w:val="0070C0"/>
          <w:szCs w:val="21"/>
        </w:rPr>
        <w:t>，按式（3）。</w:t>
      </w:r>
    </w:p>
    <w:p w14:paraId="70871009">
      <w:pPr>
        <w:pStyle w:val="56"/>
        <w:spacing w:beforeLines="50" w:afterLines="50"/>
        <w:ind w:firstLine="420"/>
        <w:rPr>
          <w:rStyle w:val="29"/>
          <w:b w:val="0"/>
          <w:bCs w:val="0"/>
        </w:rPr>
      </w:pPr>
      <m:oMath>
        <m:r>
          <m:rPr>
            <m:sty m:val="p"/>
          </m:rPr>
          <w:rPr>
            <w:rFonts w:ascii="Cambria Math" w:hAnsi="Cambria Math"/>
            <w:szCs w:val="24"/>
          </w:rPr>
          <m:t xml:space="preserve">NPAS = </m:t>
        </m:r>
        <m:sSub>
          <m:sSubPr>
            <m:ctrlPr>
              <w:rPr>
                <w:rFonts w:ascii="Cambria Math" w:hAnsi="Cambria Math"/>
                <w:szCs w:val="24"/>
              </w:rPr>
            </m:ctrlPr>
          </m:sSubPr>
          <m:e>
            <m:r>
              <m:rPr>
                <m:sty m:val="p"/>
              </m:rPr>
              <w:rPr>
                <w:rFonts w:ascii="Cambria Math" w:hAnsi="Cambria Math"/>
                <w:szCs w:val="24"/>
              </w:rPr>
              <m:t>log</m:t>
            </m:r>
            <m:ctrlPr>
              <w:rPr>
                <w:rFonts w:ascii="Cambria Math" w:hAnsi="Cambria Math"/>
                <w:szCs w:val="24"/>
              </w:rPr>
            </m:ctrlPr>
          </m:e>
          <m:sub>
            <m:r>
              <m:rPr/>
              <w:rPr>
                <w:rFonts w:ascii="Cambria Math" w:hAnsi="Cambria Math"/>
                <w:szCs w:val="24"/>
              </w:rPr>
              <m:t>2</m:t>
            </m:r>
            <m:ctrlPr>
              <w:rPr>
                <w:rFonts w:ascii="Cambria Math" w:hAnsi="Cambria Math"/>
                <w:szCs w:val="24"/>
              </w:rPr>
            </m:ctrlPr>
          </m:sub>
        </m:sSub>
        <m:d>
          <m:dPr>
            <m:ctrlPr>
              <w:rPr>
                <w:rFonts w:ascii="Cambria Math" w:hAnsi="Cambria Math"/>
                <w:i/>
                <w:szCs w:val="24"/>
              </w:rPr>
            </m:ctrlPr>
          </m:dPr>
          <m:e>
            <m:f>
              <m:fPr>
                <m:ctrlPr>
                  <w:rPr>
                    <w:rFonts w:ascii="Cambria Math" w:hAnsi="Cambria Math"/>
                    <w:i/>
                    <w:szCs w:val="24"/>
                  </w:rPr>
                </m:ctrlPr>
              </m:fPr>
              <m:num>
                <m:sSub>
                  <m:sSubPr>
                    <m:ctrlPr>
                      <w:rPr>
                        <w:rFonts w:ascii="Cambria Math" w:hAnsi="Cambria Math"/>
                        <w:i/>
                        <w:szCs w:val="24"/>
                      </w:rPr>
                    </m:ctrlPr>
                  </m:sSubPr>
                  <m:e>
                    <m:r>
                      <m:rPr/>
                      <w:rPr>
                        <w:rFonts w:hint="eastAsia" w:ascii="Cambria Math" w:hAnsi="Cambria Math"/>
                        <w:szCs w:val="24"/>
                      </w:rPr>
                      <m:t>NPA</m:t>
                    </m:r>
                    <m:ctrlPr>
                      <w:rPr>
                        <w:rFonts w:ascii="Cambria Math" w:hAnsi="Cambria Math"/>
                        <w:i/>
                        <w:szCs w:val="24"/>
                      </w:rPr>
                    </m:ctrlPr>
                  </m:e>
                  <m:sub>
                    <m:r>
                      <m:rPr>
                        <m:sty m:val="p"/>
                      </m:rPr>
                      <w:rPr>
                        <w:rFonts w:hint="eastAsia" w:ascii="Cambria Math" w:hAnsi="Cambria Math"/>
                        <w:szCs w:val="24"/>
                      </w:rPr>
                      <m:t>treat</m:t>
                    </m:r>
                    <m:ctrlPr>
                      <w:rPr>
                        <w:rFonts w:ascii="Cambria Math" w:hAnsi="Cambria Math"/>
                        <w:i/>
                        <w:szCs w:val="24"/>
                      </w:rPr>
                    </m:ctrlPr>
                  </m:sub>
                </m:sSub>
                <m:ctrlPr>
                  <w:rPr>
                    <w:rFonts w:ascii="Cambria Math" w:hAnsi="Cambria Math"/>
                    <w:i/>
                    <w:szCs w:val="24"/>
                  </w:rPr>
                </m:ctrlPr>
              </m:num>
              <m:den>
                <m:sSub>
                  <m:sSubPr>
                    <m:ctrlPr>
                      <w:rPr>
                        <w:rFonts w:ascii="Cambria Math" w:hAnsi="Cambria Math"/>
                        <w:i/>
                        <w:szCs w:val="24"/>
                      </w:rPr>
                    </m:ctrlPr>
                  </m:sSubPr>
                  <m:e>
                    <m:r>
                      <m:rPr/>
                      <w:rPr>
                        <w:rFonts w:hint="eastAsia" w:ascii="Cambria Math" w:hAnsi="Cambria Math"/>
                        <w:szCs w:val="24"/>
                      </w:rPr>
                      <m:t>NPA</m:t>
                    </m:r>
                    <m:ctrlPr>
                      <w:rPr>
                        <w:rFonts w:ascii="Cambria Math" w:hAnsi="Cambria Math"/>
                        <w:i/>
                        <w:szCs w:val="24"/>
                      </w:rPr>
                    </m:ctrlPr>
                  </m:e>
                  <m:sub>
                    <m:r>
                      <m:rPr>
                        <m:sty m:val="p"/>
                      </m:rPr>
                      <w:rPr>
                        <w:rFonts w:hint="eastAsia" w:ascii="Cambria Math" w:hAnsi="Cambria Math"/>
                        <w:szCs w:val="24"/>
                      </w:rPr>
                      <m:t>control</m:t>
                    </m:r>
                    <m:ctrlPr>
                      <w:rPr>
                        <w:rFonts w:ascii="Cambria Math" w:hAnsi="Cambria Math"/>
                        <w:i/>
                        <w:szCs w:val="24"/>
                      </w:rPr>
                    </m:ctrlPr>
                  </m:sub>
                </m:sSub>
                <m:r>
                  <m:rPr/>
                  <w:rPr>
                    <w:rFonts w:ascii="Cambria Math" w:hAnsi="Cambria Math"/>
                    <w:szCs w:val="24"/>
                  </w:rPr>
                  <m:t xml:space="preserve"> </m:t>
                </m:r>
                <m:r>
                  <m:rPr/>
                  <w:rPr>
                    <w:rFonts w:hint="eastAsia" w:ascii="Cambria Math" w:hAnsi="Cambria Math"/>
                    <w:szCs w:val="24"/>
                  </w:rPr>
                  <m:t>+</m:t>
                </m:r>
                <m:r>
                  <m:rPr/>
                  <w:rPr>
                    <w:rFonts w:ascii="Cambria Math" w:hAnsi="Cambria Math"/>
                    <w:szCs w:val="24"/>
                  </w:rPr>
                  <m:t xml:space="preserve"> 1</m:t>
                </m:r>
                <m:ctrlPr>
                  <w:rPr>
                    <w:rFonts w:ascii="Cambria Math" w:hAnsi="Cambria Math"/>
                    <w:i/>
                    <w:szCs w:val="24"/>
                  </w:rPr>
                </m:ctrlPr>
              </m:den>
            </m:f>
            <m:r>
              <m:rPr/>
              <w:rPr>
                <w:rFonts w:ascii="Cambria Math" w:hAnsi="Cambria Math"/>
                <w:szCs w:val="24"/>
              </w:rPr>
              <m:t xml:space="preserve"> × base_coverage × sequence_coverage +1</m:t>
            </m:r>
            <m:ctrlPr>
              <w:rPr>
                <w:rFonts w:ascii="Cambria Math" w:hAnsi="Cambria Math"/>
                <w:i/>
                <w:szCs w:val="24"/>
              </w:rPr>
            </m:ctrlPr>
          </m:e>
        </m:d>
      </m:oMath>
      <w:r>
        <w:rPr>
          <w:rFonts w:hint="eastAsia" w:hAnsi="Cambria Math"/>
          <w:szCs w:val="24"/>
        </w:rPr>
        <w:t xml:space="preserve"> </w:t>
      </w:r>
      <w:r>
        <w:rPr>
          <w:rFonts w:hint="eastAsia" w:hAnsi="Cambria Math" w:eastAsia="微软雅黑"/>
          <w:sz w:val="24"/>
          <w:szCs w:val="24"/>
        </w:rPr>
        <w:t>················</w:t>
      </w:r>
      <w:r>
        <w:rPr>
          <w:rFonts w:hint="eastAsia" w:hAnsi="Cambria Math" w:eastAsia="微软雅黑"/>
          <w:szCs w:val="21"/>
        </w:rPr>
        <w:t>（2）</w:t>
      </w:r>
    </w:p>
    <w:p w14:paraId="6C3C621D">
      <w:pPr>
        <w:pStyle w:val="56"/>
        <w:spacing w:beforeLines="50" w:afterLines="50"/>
        <w:ind w:firstLine="420"/>
        <w:rPr>
          <w:rFonts w:hAnsi="宋体" w:cs="宋体"/>
          <w:szCs w:val="21"/>
        </w:rPr>
      </w:pPr>
      <w:r>
        <w:rPr>
          <w:rFonts w:hAnsi="宋体" w:cs="宋体"/>
          <w:szCs w:val="21"/>
        </w:rPr>
        <w:t>NPAS = log2(NPA_</w:t>
      </w:r>
      <w:r>
        <w:rPr>
          <w:rFonts w:hAnsi="宋体" w:cs="宋体"/>
          <w:i/>
          <w:iCs/>
          <w:szCs w:val="21"/>
        </w:rPr>
        <w:t>case</w:t>
      </w:r>
      <w:r>
        <w:rPr>
          <w:rFonts w:hAnsi="宋体" w:cs="宋体"/>
          <w:szCs w:val="21"/>
        </w:rPr>
        <w:t xml:space="preserve"> </w:t>
      </w:r>
      <m:oMath>
        <m:r>
          <m:rPr>
            <m:sty m:val="p"/>
          </m:rPr>
          <w:rPr>
            <w:rFonts w:ascii="Cambria Math" w:hAnsi="Cambria Math" w:cs="宋体"/>
            <w:szCs w:val="21"/>
          </w:rPr>
          <m:t>×</m:t>
        </m:r>
        <m:r>
          <m:rPr/>
          <w:rPr>
            <w:rFonts w:ascii="Cambria Math" w:hAnsi="Cambria Math" w:cs="宋体"/>
            <w:szCs w:val="21"/>
          </w:rPr>
          <m:t xml:space="preserve"> </m:t>
        </m:r>
      </m:oMath>
      <w:r>
        <w:rPr>
          <w:rFonts w:hAnsi="宋体" w:cs="宋体"/>
          <w:i/>
          <w:iCs/>
          <w:szCs w:val="21"/>
        </w:rPr>
        <w:t>base_coverage</w:t>
      </w:r>
      <w:r>
        <w:rPr>
          <w:rFonts w:hAnsi="宋体" w:cs="宋体"/>
          <w:szCs w:val="21"/>
        </w:rPr>
        <w:t xml:space="preserve"> </w:t>
      </w:r>
      <m:oMath>
        <m:r>
          <m:rPr>
            <m:sty m:val="p"/>
          </m:rPr>
          <w:rPr>
            <w:rFonts w:ascii="Cambria Math" w:hAnsi="Cambria Math" w:cs="宋体"/>
            <w:szCs w:val="21"/>
          </w:rPr>
          <m:t>×</m:t>
        </m:r>
      </m:oMath>
      <w:r>
        <w:rPr>
          <w:rFonts w:hAnsi="宋体" w:cs="宋体"/>
          <w:szCs w:val="21"/>
        </w:rPr>
        <w:t xml:space="preserve"> </w:t>
      </w:r>
      <w:r>
        <w:rPr>
          <w:rFonts w:hAnsi="宋体" w:cs="宋体"/>
          <w:i/>
          <w:iCs/>
          <w:szCs w:val="21"/>
        </w:rPr>
        <w:t>sequence_coverage</w:t>
      </w:r>
      <w:r>
        <w:rPr>
          <w:rFonts w:hAnsi="宋体" w:cs="宋体"/>
          <w:szCs w:val="21"/>
        </w:rPr>
        <w:t xml:space="preserve"> + 1)</w:t>
      </w:r>
      <w:r>
        <w:rPr>
          <w:rFonts w:hint="eastAsia" w:hAnsi="宋体" w:cs="宋体"/>
          <w:szCs w:val="21"/>
        </w:rPr>
        <w:t xml:space="preserve"> </w:t>
      </w:r>
      <w:r>
        <w:rPr>
          <w:rFonts w:hint="eastAsia" w:hAnsi="Cambria Math" w:eastAsia="微软雅黑"/>
          <w:szCs w:val="21"/>
        </w:rPr>
        <w:t>··································（3）</w:t>
      </w:r>
    </w:p>
    <w:p w14:paraId="01A6F5A5">
      <w:pPr>
        <w:pStyle w:val="56"/>
        <w:spacing w:beforeLines="50" w:afterLines="50"/>
        <w:ind w:firstLine="420"/>
        <w:rPr>
          <w:rStyle w:val="29"/>
          <w:b w:val="0"/>
          <w:bCs w:val="0"/>
        </w:rPr>
      </w:pPr>
      <w:r>
        <w:rPr>
          <w:rStyle w:val="29"/>
          <w:b w:val="0"/>
          <w:bCs w:val="0"/>
        </w:rPr>
        <w:t>式中：</w:t>
      </w:r>
    </w:p>
    <w:p w14:paraId="321835B8">
      <w:pPr>
        <w:pStyle w:val="132"/>
        <w:rPr>
          <w:rStyle w:val="29"/>
          <w:b w:val="0"/>
          <w:bCs w:val="0"/>
        </w:rPr>
      </w:pPr>
      <w:r>
        <w:rPr>
          <w:rStyle w:val="29"/>
          <w:rFonts w:ascii="Times New Roman"/>
          <w:b w:val="0"/>
          <w:bCs w:val="0"/>
        </w:rPr>
        <w:t>NPA_</w:t>
      </w:r>
      <w:r>
        <w:rPr>
          <w:rStyle w:val="29"/>
          <w:rFonts w:hint="eastAsia" w:ascii="Times New Roman"/>
          <w:b w:val="0"/>
          <w:bCs w:val="0"/>
        </w:rPr>
        <w:t>case</w:t>
      </w:r>
      <w:r>
        <w:rPr>
          <w:rStyle w:val="29"/>
          <w:rFonts w:ascii="Times New Roman"/>
          <w:b w:val="0"/>
          <w:bCs w:val="0"/>
        </w:rPr>
        <w:t>为病例样本的NPA值；</w:t>
      </w:r>
    </w:p>
    <w:p w14:paraId="339B3B7F">
      <w:pPr>
        <w:pStyle w:val="132"/>
        <w:rPr>
          <w:rStyle w:val="29"/>
          <w:b w:val="0"/>
          <w:bCs w:val="0"/>
        </w:rPr>
      </w:pPr>
      <w:r>
        <w:rPr>
          <w:rStyle w:val="29"/>
          <w:rFonts w:ascii="Times New Roman"/>
          <w:b w:val="0"/>
          <w:bCs w:val="0"/>
        </w:rPr>
        <w:t>NPA_</w:t>
      </w:r>
      <w:r>
        <w:rPr>
          <w:rStyle w:val="29"/>
          <w:rFonts w:hint="eastAsia" w:ascii="Times New Roman"/>
          <w:b w:val="0"/>
          <w:bCs w:val="0"/>
        </w:rPr>
        <w:t>control</w:t>
      </w:r>
      <w:r>
        <w:rPr>
          <w:rStyle w:val="29"/>
          <w:rFonts w:ascii="Times New Roman"/>
          <w:b w:val="0"/>
          <w:bCs w:val="0"/>
        </w:rPr>
        <w:t>为对照样本的NPA值；</w:t>
      </w:r>
    </w:p>
    <w:p w14:paraId="25475EAF">
      <w:pPr>
        <w:pStyle w:val="132"/>
        <w:rPr>
          <w:rStyle w:val="29"/>
          <w:b w:val="0"/>
          <w:bCs w:val="0"/>
        </w:rPr>
      </w:pPr>
      <w:r>
        <w:rPr>
          <w:rStyle w:val="29"/>
          <w:rFonts w:ascii="Times New Roman"/>
          <w:b w:val="0"/>
          <w:bCs w:val="0"/>
        </w:rPr>
        <w:t>base_coverage为</w:t>
      </w:r>
      <w:r>
        <w:rPr>
          <w:rStyle w:val="29"/>
          <w:rFonts w:hint="eastAsia" w:ascii="Times New Roman"/>
          <w:b w:val="0"/>
          <w:bCs w:val="0"/>
        </w:rPr>
        <w:t>参考基因组碱基覆盖度（被至少 1 条 read 覆盖的碱基比例）</w:t>
      </w:r>
      <w:r>
        <w:rPr>
          <w:rStyle w:val="29"/>
          <w:rFonts w:ascii="Times New Roman"/>
          <w:b w:val="0"/>
          <w:bCs w:val="0"/>
        </w:rPr>
        <w:t>；</w:t>
      </w:r>
    </w:p>
    <w:p w14:paraId="3BCB42DC">
      <w:pPr>
        <w:pStyle w:val="132"/>
        <w:rPr>
          <w:rStyle w:val="29"/>
          <w:b w:val="0"/>
          <w:bCs w:val="0"/>
        </w:rPr>
      </w:pPr>
      <w:r>
        <w:rPr>
          <w:rStyle w:val="29"/>
          <w:rFonts w:ascii="Times New Roman"/>
          <w:b w:val="0"/>
          <w:bCs w:val="0"/>
        </w:rPr>
        <w:t>sequences_coverage为</w:t>
      </w:r>
      <w:r>
        <w:rPr>
          <w:rStyle w:val="29"/>
          <w:rFonts w:hint="eastAsia" w:ascii="Times New Roman"/>
          <w:b w:val="0"/>
          <w:bCs w:val="0"/>
        </w:rPr>
        <w:t>参考基因组序列覆盖度（被至少 1 条 read 覆盖的序列比例）</w:t>
      </w:r>
      <w:r>
        <w:rPr>
          <w:rStyle w:val="29"/>
          <w:rFonts w:ascii="Times New Roman"/>
          <w:b w:val="0"/>
          <w:bCs w:val="0"/>
        </w:rPr>
        <w:t>。</w:t>
      </w:r>
    </w:p>
    <w:p w14:paraId="608DA195">
      <w:pPr>
        <w:pStyle w:val="104"/>
        <w:spacing w:before="240" w:after="240"/>
        <w:rPr>
          <w:rStyle w:val="29"/>
          <w:rFonts w:hAnsi="黑体" w:cs="黑体"/>
          <w:b w:val="0"/>
          <w:bCs w:val="0"/>
        </w:rPr>
      </w:pPr>
      <w:bookmarkStart w:id="51" w:name="_Toc4378"/>
      <w:bookmarkStart w:id="52" w:name="_Toc3224"/>
      <w:r>
        <w:rPr>
          <w:rStyle w:val="29"/>
          <w:rFonts w:hint="eastAsia" w:hAnsi="黑体" w:cs="黑体"/>
          <w:b w:val="0"/>
          <w:bCs w:val="0"/>
        </w:rPr>
        <w:t>结果报告与分级管理</w:t>
      </w:r>
      <w:bookmarkEnd w:id="51"/>
      <w:bookmarkEnd w:id="52"/>
    </w:p>
    <w:p w14:paraId="08AE3A59">
      <w:pPr>
        <w:pStyle w:val="105"/>
        <w:spacing w:before="120" w:after="120"/>
        <w:rPr>
          <w:rStyle w:val="29"/>
          <w:rFonts w:hAnsi="黑体" w:cs="黑体"/>
          <w:b w:val="0"/>
          <w:bCs w:val="0"/>
        </w:rPr>
      </w:pPr>
      <w:r>
        <w:rPr>
          <w:rStyle w:val="29"/>
          <w:rFonts w:hint="eastAsia" w:hAnsi="黑体" w:cs="黑体"/>
          <w:b w:val="0"/>
          <w:bCs w:val="0"/>
        </w:rPr>
        <w:t>报告内容</w:t>
      </w:r>
    </w:p>
    <w:p w14:paraId="7331524D">
      <w:pPr>
        <w:pStyle w:val="56"/>
        <w:ind w:firstLine="420"/>
        <w:rPr>
          <w:rStyle w:val="29"/>
          <w:b w:val="0"/>
          <w:bCs w:val="0"/>
        </w:rPr>
      </w:pPr>
      <w:r>
        <w:rPr>
          <w:rStyle w:val="29"/>
          <w:rFonts w:hint="eastAsia"/>
          <w:b w:val="0"/>
          <w:bCs w:val="0"/>
        </w:rPr>
        <w:t>分析报告应至少包含以下内容：</w:t>
      </w:r>
    </w:p>
    <w:p w14:paraId="498AF0EE">
      <w:pPr>
        <w:pStyle w:val="132"/>
        <w:rPr>
          <w:rStyle w:val="29"/>
          <w:b w:val="0"/>
          <w:bCs w:val="0"/>
        </w:rPr>
      </w:pPr>
      <w:r>
        <w:rPr>
          <w:rStyle w:val="29"/>
          <w:rFonts w:hint="eastAsia"/>
          <w:b w:val="0"/>
          <w:bCs w:val="0"/>
        </w:rPr>
        <w:t>病原体检测结果表：按 NPAS 分值降序排列，列出物种名称、TaxID、unique reads 数、碱基覆盖度、序列覆盖度、NPA 值及 NPAS 值；</w:t>
      </w:r>
    </w:p>
    <w:p w14:paraId="192C040C">
      <w:pPr>
        <w:pStyle w:val="132"/>
        <w:rPr>
          <w:rStyle w:val="29"/>
          <w:b w:val="0"/>
          <w:bCs w:val="0"/>
        </w:rPr>
      </w:pPr>
      <w:r>
        <w:rPr>
          <w:rStyle w:val="29"/>
          <w:rFonts w:hint="eastAsia"/>
          <w:b w:val="0"/>
          <w:bCs w:val="0"/>
        </w:rPr>
        <w:t>结果解读说明：阐述 NPAS 分级的临床意义，建议将排名前十的病原体提交临床医生结合临床表现进一步验证。</w:t>
      </w:r>
    </w:p>
    <w:p w14:paraId="20F13848">
      <w:pPr>
        <w:pStyle w:val="105"/>
        <w:spacing w:before="120" w:after="120"/>
        <w:rPr>
          <w:rStyle w:val="29"/>
          <w:rFonts w:hAnsi="黑体" w:cs="黑体"/>
          <w:b w:val="0"/>
          <w:bCs w:val="0"/>
        </w:rPr>
      </w:pPr>
      <w:r>
        <w:rPr>
          <w:rStyle w:val="29"/>
          <w:rFonts w:hint="eastAsia" w:hAnsi="黑体" w:cs="黑体"/>
          <w:b w:val="0"/>
          <w:bCs w:val="0"/>
        </w:rPr>
        <w:t>分级标准</w:t>
      </w:r>
    </w:p>
    <w:p w14:paraId="6CD61912">
      <w:pPr>
        <w:pStyle w:val="56"/>
        <w:ind w:firstLine="420"/>
        <w:rPr>
          <w:rStyle w:val="29"/>
          <w:rFonts w:ascii="宋体" w:hAnsi="宋体"/>
          <w:b w:val="0"/>
          <w:bCs w:val="0"/>
        </w:rPr>
      </w:pPr>
      <w:r>
        <w:rPr>
          <w:rStyle w:val="29"/>
          <w:rFonts w:hint="eastAsia" w:ascii="宋体" w:hAnsi="宋体"/>
          <w:b w:val="0"/>
          <w:bCs w:val="0"/>
        </w:rPr>
        <w:t>按照 NPAS 分值及覆盖度指标，对检测出的病原体进行分级，分为</w:t>
      </w:r>
      <w:bookmarkStart w:id="53" w:name="OLE_LINK6"/>
      <w:r>
        <w:rPr>
          <w:rStyle w:val="29"/>
          <w:rFonts w:hint="eastAsia" w:ascii="宋体" w:hAnsi="宋体"/>
          <w:b w:val="0"/>
          <w:bCs w:val="0"/>
        </w:rPr>
        <w:t>“高相关”“中相关”“低相关”等级别</w:t>
      </w:r>
      <w:bookmarkEnd w:id="53"/>
      <w:r>
        <w:rPr>
          <w:rStyle w:val="29"/>
          <w:rFonts w:hint="eastAsia" w:ascii="宋体" w:hAnsi="宋体"/>
          <w:b w:val="0"/>
          <w:bCs w:val="0"/>
        </w:rPr>
        <w:t>，具体阈值见附录D。</w:t>
      </w:r>
    </w:p>
    <w:p w14:paraId="0F9539C6">
      <w:pPr>
        <w:pStyle w:val="104"/>
        <w:spacing w:before="240" w:after="240"/>
        <w:rPr>
          <w:rStyle w:val="29"/>
          <w:rFonts w:hAnsi="黑体" w:cs="黑体"/>
          <w:b w:val="0"/>
          <w:bCs w:val="0"/>
        </w:rPr>
      </w:pPr>
      <w:bookmarkStart w:id="54" w:name="_Toc26257"/>
      <w:bookmarkStart w:id="55" w:name="_Toc30449"/>
      <w:r>
        <w:rPr>
          <w:rStyle w:val="29"/>
          <w:rFonts w:hint="eastAsia" w:hAnsi="黑体" w:cs="黑体"/>
          <w:b w:val="0"/>
          <w:bCs w:val="0"/>
        </w:rPr>
        <w:t>数据管理与质量监督</w:t>
      </w:r>
      <w:bookmarkEnd w:id="54"/>
      <w:bookmarkEnd w:id="55"/>
    </w:p>
    <w:p w14:paraId="628C220E">
      <w:pPr>
        <w:pStyle w:val="105"/>
        <w:spacing w:before="120" w:after="120"/>
        <w:rPr>
          <w:rStyle w:val="29"/>
          <w:rFonts w:hAnsi="黑体" w:cs="黑体"/>
          <w:b w:val="0"/>
          <w:bCs w:val="0"/>
        </w:rPr>
      </w:pPr>
      <w:r>
        <w:rPr>
          <w:rStyle w:val="29"/>
          <w:rFonts w:hint="eastAsia" w:hAnsi="黑体" w:cs="黑体"/>
          <w:b w:val="0"/>
          <w:bCs w:val="0"/>
        </w:rPr>
        <w:t>数据管理</w:t>
      </w:r>
    </w:p>
    <w:p w14:paraId="0EFD1906">
      <w:pPr>
        <w:pStyle w:val="165"/>
        <w:rPr>
          <w:rStyle w:val="29"/>
          <w:b w:val="0"/>
          <w:bCs w:val="0"/>
        </w:rPr>
      </w:pPr>
      <w:r>
        <w:rPr>
          <w:rStyle w:val="29"/>
          <w:rFonts w:hint="eastAsia"/>
          <w:b w:val="0"/>
          <w:bCs w:val="0"/>
        </w:rPr>
        <w:t>所有分析涉及的样本信息应进行去标识化处理。</w:t>
      </w:r>
    </w:p>
    <w:p w14:paraId="237C89B5">
      <w:pPr>
        <w:pStyle w:val="165"/>
        <w:rPr>
          <w:rStyle w:val="29"/>
          <w:b w:val="0"/>
          <w:bCs w:val="0"/>
        </w:rPr>
      </w:pPr>
      <w:r>
        <w:rPr>
          <w:rStyle w:val="29"/>
          <w:rFonts w:hint="eastAsia"/>
          <w:b w:val="0"/>
          <w:bCs w:val="0"/>
        </w:rPr>
        <w:t>始测序数据及中间分析数据应安全存储，保存期限不少于 5 年。</w:t>
      </w:r>
    </w:p>
    <w:p w14:paraId="62EA48D5">
      <w:pPr>
        <w:pStyle w:val="165"/>
        <w:rPr>
          <w:rStyle w:val="29"/>
          <w:b w:val="0"/>
          <w:bCs w:val="0"/>
        </w:rPr>
      </w:pPr>
      <w:r>
        <w:rPr>
          <w:rStyle w:val="29"/>
          <w:rFonts w:hint="eastAsia"/>
          <w:b w:val="0"/>
          <w:bCs w:val="0"/>
        </w:rPr>
        <w:t>涉及人类样本的检测项目须经所在机构伦理委员会审查批准。</w:t>
      </w:r>
    </w:p>
    <w:p w14:paraId="58A30A6A">
      <w:pPr>
        <w:pStyle w:val="165"/>
        <w:rPr>
          <w:rStyle w:val="29"/>
          <w:b w:val="0"/>
          <w:bCs w:val="0"/>
        </w:rPr>
      </w:pPr>
      <w:r>
        <w:rPr>
          <w:rStyle w:val="29"/>
          <w:rFonts w:hint="eastAsia"/>
          <w:b w:val="0"/>
          <w:bCs w:val="0"/>
        </w:rPr>
        <w:t>应建立数据备份与恢复机制，保障数据完整性与安全性。</w:t>
      </w:r>
    </w:p>
    <w:p w14:paraId="6136B80E">
      <w:pPr>
        <w:pStyle w:val="105"/>
        <w:spacing w:before="120" w:after="120"/>
        <w:rPr>
          <w:rStyle w:val="29"/>
          <w:rFonts w:hAnsi="黑体" w:cs="黑体"/>
          <w:b w:val="0"/>
          <w:bCs w:val="0"/>
        </w:rPr>
      </w:pPr>
      <w:r>
        <w:rPr>
          <w:rStyle w:val="29"/>
          <w:rFonts w:hint="eastAsia" w:hAnsi="黑体" w:cs="黑体"/>
          <w:b w:val="0"/>
          <w:bCs w:val="0"/>
        </w:rPr>
        <w:t>质量监督</w:t>
      </w:r>
    </w:p>
    <w:p w14:paraId="534A4D7A">
      <w:pPr>
        <w:pStyle w:val="165"/>
        <w:rPr>
          <w:rStyle w:val="29"/>
          <w:b w:val="0"/>
          <w:bCs w:val="0"/>
        </w:rPr>
      </w:pPr>
      <w:r>
        <w:rPr>
          <w:rStyle w:val="29"/>
          <w:rFonts w:hint="eastAsia"/>
          <w:b w:val="0"/>
          <w:bCs w:val="0"/>
        </w:rPr>
        <w:t>病原体参考数据库应每年至少更新一次，并由第三方机构（具备相应资质）进行完整性核查。</w:t>
      </w:r>
    </w:p>
    <w:p w14:paraId="28FECBCD">
      <w:pPr>
        <w:pStyle w:val="165"/>
        <w:rPr>
          <w:rStyle w:val="29"/>
          <w:b w:val="0"/>
          <w:bCs w:val="0"/>
        </w:rPr>
      </w:pPr>
      <w:r>
        <w:rPr>
          <w:rStyle w:val="29"/>
          <w:rFonts w:hint="eastAsia"/>
          <w:b w:val="0"/>
          <w:bCs w:val="0"/>
        </w:rPr>
        <w:t>分析工具及流程版本应定期评审，确保其性能符合技术规范要求。</w:t>
      </w:r>
    </w:p>
    <w:p w14:paraId="5FD541EB">
      <w:pPr>
        <w:pStyle w:val="165"/>
        <w:rPr>
          <w:rStyle w:val="29"/>
          <w:b w:val="0"/>
          <w:bCs w:val="0"/>
        </w:rPr>
      </w:pPr>
      <w:r>
        <w:rPr>
          <w:rStyle w:val="29"/>
          <w:rFonts w:hint="eastAsia"/>
          <w:b w:val="0"/>
          <w:bCs w:val="0"/>
        </w:rPr>
        <w:t>鼓励用户反馈未收录病原体信息，由开发团队审核后纳入数据库更新，并反馈用户审核结果。</w:t>
      </w:r>
    </w:p>
    <w:p w14:paraId="14EEAB75">
      <w:pPr>
        <w:pStyle w:val="56"/>
        <w:spacing w:beforeLines="50" w:afterLines="50"/>
        <w:ind w:firstLine="0" w:firstLineChars="0"/>
        <w:rPr>
          <w:rStyle w:val="29"/>
        </w:rPr>
      </w:pPr>
    </w:p>
    <w:p w14:paraId="603F26FA">
      <w:pPr>
        <w:pStyle w:val="56"/>
        <w:spacing w:beforeLines="50" w:afterLines="50"/>
        <w:ind w:firstLine="0" w:firstLineChars="0"/>
        <w:rPr>
          <w:rStyle w:val="29"/>
        </w:rPr>
      </w:pPr>
    </w:p>
    <w:p w14:paraId="640E8081">
      <w:pPr>
        <w:pStyle w:val="56"/>
        <w:spacing w:beforeLines="50" w:afterLines="50"/>
        <w:ind w:firstLine="0" w:firstLineChars="0"/>
        <w:rPr>
          <w:rStyle w:val="29"/>
        </w:rPr>
      </w:pPr>
    </w:p>
    <w:p w14:paraId="19A18BC4">
      <w:pPr>
        <w:pStyle w:val="56"/>
        <w:ind w:firstLine="0" w:firstLineChars="0"/>
        <w:rPr>
          <w:bCs/>
        </w:rPr>
      </w:pPr>
    </w:p>
    <w:p w14:paraId="6F9E7368">
      <w:pPr>
        <w:pStyle w:val="56"/>
        <w:ind w:firstLine="0" w:firstLineChars="0"/>
        <w:rPr>
          <w:bCs/>
        </w:rPr>
      </w:pPr>
    </w:p>
    <w:bookmarkEnd w:id="14"/>
    <w:p w14:paraId="683D1A0F">
      <w:pPr>
        <w:pStyle w:val="198"/>
        <w:rPr>
          <w:vanish w:val="0"/>
        </w:rPr>
      </w:pPr>
      <w:bookmarkStart w:id="56" w:name="BookMark5"/>
    </w:p>
    <w:p w14:paraId="18DD1BA6">
      <w:pPr>
        <w:pStyle w:val="199"/>
        <w:rPr>
          <w:vanish w:val="0"/>
        </w:rPr>
      </w:pPr>
    </w:p>
    <w:p w14:paraId="7F8C91E8">
      <w:pPr>
        <w:pStyle w:val="76"/>
        <w:spacing w:after="120"/>
        <w:ind w:firstLine="420"/>
      </w:pPr>
      <w:r>
        <w:br w:type="textWrapping"/>
      </w:r>
      <w:r>
        <w:rPr>
          <w:rFonts w:hint="eastAsia"/>
        </w:rPr>
        <w:t xml:space="preserve">   （资料性）</w:t>
      </w:r>
      <w:r>
        <w:br w:type="textWrapping"/>
      </w:r>
      <w:r>
        <w:rPr>
          <w:rFonts w:hint="eastAsia"/>
        </w:rPr>
        <w:t xml:space="preserve">   生物信息学分析流程图</w:t>
      </w:r>
    </w:p>
    <w:p w14:paraId="7ED363C0">
      <w:pPr>
        <w:pStyle w:val="56"/>
        <w:ind w:firstLine="420"/>
        <w:rPr>
          <w:rFonts w:ascii="宋体" w:hAnsi="宋体"/>
        </w:rPr>
      </w:pPr>
      <w:r>
        <w:rPr>
          <w:rFonts w:hint="eastAsia" w:ascii="宋体" w:hAnsi="宋体"/>
        </w:rPr>
        <w:t>生物信息学分析流程见图A.1。</w:t>
      </w:r>
    </w:p>
    <w:p w14:paraId="05369E4D">
      <w:pPr>
        <w:pStyle w:val="76"/>
        <w:numPr>
          <w:ilvl w:val="0"/>
          <w:numId w:val="0"/>
        </w:numPr>
        <w:spacing w:after="120"/>
      </w:pPr>
      <w:r>
        <w:drawing>
          <wp:inline distT="0" distB="0" distL="114300" distR="114300">
            <wp:extent cx="5727065" cy="2413635"/>
            <wp:effectExtent l="0" t="0" r="3175"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8"/>
                    <a:srcRect l="1703" t="14305" r="1703" b="13295"/>
                    <a:stretch>
                      <a:fillRect/>
                    </a:stretch>
                  </pic:blipFill>
                  <pic:spPr>
                    <a:xfrm>
                      <a:off x="0" y="0"/>
                      <a:ext cx="5727065" cy="2413635"/>
                    </a:xfrm>
                    <a:prstGeom prst="rect">
                      <a:avLst/>
                    </a:prstGeom>
                    <a:noFill/>
                    <a:ln>
                      <a:noFill/>
                    </a:ln>
                  </pic:spPr>
                </pic:pic>
              </a:graphicData>
            </a:graphic>
          </wp:inline>
        </w:drawing>
      </w:r>
    </w:p>
    <w:p w14:paraId="56F5693C">
      <w:pPr>
        <w:pStyle w:val="76"/>
        <w:numPr>
          <w:ilvl w:val="0"/>
          <w:numId w:val="0"/>
        </w:numPr>
        <w:spacing w:after="120"/>
      </w:pPr>
      <w:r>
        <w:t>图</w:t>
      </w:r>
      <w:r>
        <w:rPr>
          <w:rFonts w:hint="eastAsia"/>
        </w:rPr>
        <w:t xml:space="preserve">A.1  </w:t>
      </w:r>
      <w:r>
        <w:t>生物信息学分析流程</w:t>
      </w:r>
      <w:r>
        <w:rPr>
          <w:rFonts w:hint="eastAsia"/>
        </w:rPr>
        <w:t>图</w:t>
      </w:r>
    </w:p>
    <w:p w14:paraId="4074712F">
      <w:pPr>
        <w:pStyle w:val="56"/>
        <w:ind w:firstLine="420"/>
      </w:pPr>
    </w:p>
    <w:p w14:paraId="255EFEED">
      <w:pPr>
        <w:pStyle w:val="56"/>
        <w:ind w:firstLine="420"/>
      </w:pPr>
    </w:p>
    <w:p w14:paraId="300F9EA8">
      <w:pPr>
        <w:pStyle w:val="56"/>
        <w:ind w:firstLine="420"/>
      </w:pPr>
    </w:p>
    <w:p w14:paraId="59749A09">
      <w:pPr>
        <w:pStyle w:val="56"/>
        <w:ind w:firstLine="420"/>
      </w:pPr>
    </w:p>
    <w:p w14:paraId="187C1465">
      <w:pPr>
        <w:pStyle w:val="56"/>
        <w:ind w:firstLine="420"/>
        <w:sectPr>
          <w:footerReference r:id="rId14" w:type="default"/>
          <w:pgSz w:w="11906" w:h="16838"/>
          <w:pgMar w:top="1928" w:right="1134" w:bottom="1134" w:left="1134" w:header="1418" w:footer="1134" w:gutter="284"/>
          <w:cols w:space="425" w:num="1"/>
          <w:formProt w:val="0"/>
          <w:docGrid w:linePitch="312" w:charSpace="0"/>
        </w:sectPr>
      </w:pPr>
    </w:p>
    <w:p w14:paraId="08FEEC67">
      <w:pPr>
        <w:pStyle w:val="198"/>
        <w:rPr>
          <w:vanish w:val="0"/>
        </w:rPr>
      </w:pPr>
    </w:p>
    <w:p w14:paraId="41A23D63">
      <w:pPr>
        <w:pStyle w:val="199"/>
        <w:rPr>
          <w:vanish w:val="0"/>
        </w:rPr>
      </w:pPr>
    </w:p>
    <w:p w14:paraId="7157889F">
      <w:pPr>
        <w:pStyle w:val="76"/>
        <w:spacing w:after="120"/>
      </w:pPr>
      <w:r>
        <w:br w:type="textWrapping"/>
      </w:r>
      <w:r>
        <w:rPr>
          <w:rFonts w:hint="eastAsia"/>
        </w:rPr>
        <w:t>（资料性）</w:t>
      </w:r>
      <w:r>
        <w:br w:type="textWrapping"/>
      </w:r>
      <w:r>
        <w:rPr>
          <w:rFonts w:hint="eastAsia"/>
        </w:rPr>
        <w:t>推荐病原体分类列表（WHO 2024年全球卫生优先病原体清单）</w:t>
      </w:r>
    </w:p>
    <w:p w14:paraId="4FB4AF89">
      <w:pPr>
        <w:pStyle w:val="78"/>
        <w:spacing w:before="120" w:after="120"/>
        <w:rPr>
          <w:rStyle w:val="29"/>
          <w:rFonts w:hAnsi="黑体" w:cs="黑体"/>
          <w:b w:val="0"/>
          <w:bCs w:val="0"/>
        </w:rPr>
      </w:pPr>
      <w:r>
        <w:rPr>
          <w:rStyle w:val="29"/>
          <w:rFonts w:hint="eastAsia" w:hAnsi="黑体" w:cs="黑体"/>
          <w:b w:val="0"/>
          <w:bCs w:val="0"/>
        </w:rPr>
        <w:t>2024年WHO细菌优先病原体清单（BPPL）</w:t>
      </w:r>
    </w:p>
    <w:p w14:paraId="140604BC">
      <w:pPr>
        <w:pStyle w:val="56"/>
        <w:ind w:firstLine="420"/>
        <w:rPr>
          <w:rStyle w:val="29"/>
          <w:b w:val="0"/>
          <w:bCs w:val="0"/>
        </w:rPr>
      </w:pPr>
      <w:r>
        <w:rPr>
          <w:rStyle w:val="29"/>
          <w:b w:val="0"/>
          <w:bCs w:val="0"/>
        </w:rPr>
        <w:t>清单目标：针对日益严重的抗菌素耐药性问题，指导新型抗生素、诊断工具及疗法的研发重点。</w:t>
      </w:r>
    </w:p>
    <w:p w14:paraId="7A54BC25">
      <w:pPr>
        <w:pStyle w:val="56"/>
        <w:ind w:firstLine="420"/>
        <w:rPr>
          <w:rStyle w:val="29"/>
          <w:b w:val="0"/>
          <w:bCs w:val="0"/>
        </w:rPr>
      </w:pPr>
      <w:r>
        <w:rPr>
          <w:rStyle w:val="29"/>
          <w:b w:val="0"/>
          <w:bCs w:val="0"/>
        </w:rPr>
        <w:t>涵盖范围：包</w:t>
      </w:r>
      <w:r>
        <w:rPr>
          <w:rStyle w:val="29"/>
          <w:rFonts w:ascii="宋体" w:hAnsi="宋体"/>
          <w:b w:val="0"/>
          <w:bCs w:val="0"/>
        </w:rPr>
        <w:t>含15个属/种</w:t>
      </w:r>
      <w:r>
        <w:rPr>
          <w:rStyle w:val="29"/>
          <w:b w:val="0"/>
          <w:bCs w:val="0"/>
        </w:rPr>
        <w:t>的细菌，根据其耐药性带来的公共卫生负担和研发紧迫性分为三个等级。</w:t>
      </w:r>
    </w:p>
    <w:p w14:paraId="7FFDBE5B">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B.1.1  关键优先级</w:t>
      </w:r>
    </w:p>
    <w:p w14:paraId="34CF8FE7">
      <w:pPr>
        <w:pStyle w:val="56"/>
        <w:ind w:firstLine="420"/>
        <w:rPr>
          <w:rStyle w:val="29"/>
          <w:b w:val="0"/>
          <w:bCs w:val="0"/>
        </w:rPr>
      </w:pPr>
      <w:r>
        <w:rPr>
          <w:rStyle w:val="29"/>
          <w:b w:val="0"/>
          <w:bCs w:val="0"/>
        </w:rPr>
        <w:t>此等级病原体对“最后防线”抗生素产生耐药，感染后治疗选择极少，构成最迫切的公共卫生威胁</w:t>
      </w:r>
      <w:r>
        <w:rPr>
          <w:rStyle w:val="29"/>
          <w:rFonts w:hint="eastAsia"/>
          <w:b w:val="0"/>
          <w:bCs w:val="0"/>
        </w:rPr>
        <w:t>：</w:t>
      </w:r>
    </w:p>
    <w:p w14:paraId="5E8D7D7D">
      <w:pPr>
        <w:pStyle w:val="132"/>
        <w:rPr>
          <w:rStyle w:val="29"/>
          <w:b w:val="0"/>
          <w:bCs w:val="0"/>
        </w:rPr>
      </w:pPr>
      <w:r>
        <w:rPr>
          <w:rStyle w:val="29"/>
          <w:rFonts w:hint="eastAsia" w:ascii="Times New Roman"/>
          <w:b w:val="0"/>
          <w:bCs w:val="0"/>
        </w:rPr>
        <w:t>耐碳青霉烯类鲍曼不动杆菌；</w:t>
      </w:r>
    </w:p>
    <w:p w14:paraId="2AB9E4E6">
      <w:pPr>
        <w:pStyle w:val="132"/>
        <w:rPr>
          <w:rStyle w:val="29"/>
          <w:b w:val="0"/>
          <w:bCs w:val="0"/>
        </w:rPr>
      </w:pPr>
      <w:r>
        <w:rPr>
          <w:rStyle w:val="29"/>
          <w:rFonts w:hint="eastAsia" w:ascii="Times New Roman"/>
          <w:b w:val="0"/>
          <w:bCs w:val="0"/>
        </w:rPr>
        <w:t>耐第三代头孢菌素肠杆菌；</w:t>
      </w:r>
    </w:p>
    <w:p w14:paraId="5DA4A31A">
      <w:pPr>
        <w:pStyle w:val="132"/>
        <w:rPr>
          <w:rStyle w:val="29"/>
          <w:b w:val="0"/>
          <w:bCs w:val="0"/>
        </w:rPr>
      </w:pPr>
      <w:r>
        <w:rPr>
          <w:rStyle w:val="29"/>
          <w:rFonts w:hint="eastAsia" w:ascii="Times New Roman"/>
          <w:b w:val="0"/>
          <w:bCs w:val="0"/>
        </w:rPr>
        <w:t>耐碳青霉烯类肠杆菌；</w:t>
      </w:r>
    </w:p>
    <w:p w14:paraId="1F797B0C">
      <w:pPr>
        <w:pStyle w:val="132"/>
        <w:rPr>
          <w:rStyle w:val="29"/>
          <w:b w:val="0"/>
          <w:bCs w:val="0"/>
        </w:rPr>
      </w:pPr>
      <w:r>
        <w:rPr>
          <w:rStyle w:val="29"/>
          <w:rFonts w:hint="eastAsia" w:ascii="Times New Roman"/>
          <w:b w:val="0"/>
          <w:bCs w:val="0"/>
        </w:rPr>
        <w:t>耐利福平结核分枝杆菌。</w:t>
      </w:r>
    </w:p>
    <w:p w14:paraId="0C1954DD">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B.1.2  高度优先级</w:t>
      </w:r>
    </w:p>
    <w:p w14:paraId="12095250">
      <w:pPr>
        <w:pStyle w:val="56"/>
        <w:ind w:firstLine="420"/>
        <w:rPr>
          <w:rStyle w:val="29"/>
          <w:b w:val="0"/>
          <w:bCs w:val="0"/>
        </w:rPr>
      </w:pPr>
      <w:r>
        <w:rPr>
          <w:rStyle w:val="29"/>
          <w:b w:val="0"/>
          <w:bCs w:val="0"/>
        </w:rPr>
        <w:t>此类病原体的耐药感染率高，可导致严重疾病，并加剧医疗系统负担</w:t>
      </w:r>
      <w:r>
        <w:rPr>
          <w:rStyle w:val="29"/>
          <w:rFonts w:hint="eastAsia"/>
          <w:b w:val="0"/>
          <w:bCs w:val="0"/>
        </w:rPr>
        <w:t>：</w:t>
      </w:r>
    </w:p>
    <w:p w14:paraId="4062946B">
      <w:pPr>
        <w:pStyle w:val="132"/>
        <w:rPr>
          <w:rStyle w:val="29"/>
          <w:rFonts w:hAnsi="宋体"/>
          <w:b w:val="0"/>
          <w:bCs w:val="0"/>
        </w:rPr>
      </w:pPr>
      <w:r>
        <w:rPr>
          <w:rStyle w:val="29"/>
          <w:rFonts w:hint="eastAsia" w:hAnsi="宋体"/>
          <w:b w:val="0"/>
          <w:bCs w:val="0"/>
        </w:rPr>
        <w:t>耐氟喹诺酮类伤寒沙门氏菌；</w:t>
      </w:r>
    </w:p>
    <w:p w14:paraId="54D03852">
      <w:pPr>
        <w:pStyle w:val="132"/>
        <w:rPr>
          <w:rStyle w:val="29"/>
          <w:rFonts w:hAnsi="宋体"/>
          <w:b w:val="0"/>
          <w:bCs w:val="0"/>
        </w:rPr>
      </w:pPr>
      <w:r>
        <w:rPr>
          <w:rStyle w:val="29"/>
          <w:rFonts w:hint="eastAsia" w:hAnsi="宋体"/>
          <w:b w:val="0"/>
          <w:bCs w:val="0"/>
        </w:rPr>
        <w:t>耐氟喹诺酮类志贺氏菌；</w:t>
      </w:r>
    </w:p>
    <w:p w14:paraId="6C4C2582">
      <w:pPr>
        <w:pStyle w:val="132"/>
        <w:rPr>
          <w:rStyle w:val="29"/>
          <w:rFonts w:hAnsi="宋体"/>
          <w:b w:val="0"/>
          <w:bCs w:val="0"/>
        </w:rPr>
      </w:pPr>
      <w:r>
        <w:rPr>
          <w:rStyle w:val="29"/>
          <w:rFonts w:hint="eastAsia" w:hAnsi="宋体"/>
          <w:b w:val="0"/>
          <w:bCs w:val="0"/>
        </w:rPr>
        <w:t>耐万古霉素屎肠球菌；</w:t>
      </w:r>
    </w:p>
    <w:p w14:paraId="42AB21A1">
      <w:pPr>
        <w:pStyle w:val="132"/>
        <w:rPr>
          <w:rStyle w:val="29"/>
          <w:rFonts w:hAnsi="宋体"/>
          <w:b w:val="0"/>
          <w:bCs w:val="0"/>
        </w:rPr>
      </w:pPr>
      <w:r>
        <w:rPr>
          <w:rStyle w:val="29"/>
          <w:rFonts w:hint="eastAsia" w:hAnsi="宋体"/>
          <w:b w:val="0"/>
          <w:bCs w:val="0"/>
        </w:rPr>
        <w:t>耐碳青霉烯类铜绿假单胞菌 (注：相较于2017年清单，此病原体的优先级已从关键调整为高度)；</w:t>
      </w:r>
    </w:p>
    <w:p w14:paraId="55D9438B">
      <w:pPr>
        <w:pStyle w:val="132"/>
        <w:rPr>
          <w:rStyle w:val="29"/>
          <w:rFonts w:hAnsi="宋体"/>
          <w:b w:val="0"/>
          <w:bCs w:val="0"/>
        </w:rPr>
      </w:pPr>
      <w:r>
        <w:rPr>
          <w:rStyle w:val="29"/>
          <w:rFonts w:hint="eastAsia" w:hAnsi="宋体"/>
          <w:b w:val="0"/>
          <w:bCs w:val="0"/>
        </w:rPr>
        <w:t>耐氟喹诺酮类非伤寒沙门氏菌；</w:t>
      </w:r>
    </w:p>
    <w:p w14:paraId="7A7DBF77">
      <w:pPr>
        <w:pStyle w:val="132"/>
        <w:rPr>
          <w:rStyle w:val="29"/>
          <w:rFonts w:hAnsi="宋体"/>
          <w:b w:val="0"/>
          <w:bCs w:val="0"/>
        </w:rPr>
      </w:pPr>
      <w:r>
        <w:rPr>
          <w:rStyle w:val="29"/>
          <w:rFonts w:hint="eastAsia" w:hAnsi="宋体"/>
          <w:b w:val="0"/>
          <w:bCs w:val="0"/>
        </w:rPr>
        <w:t>耐第三代头孢菌素和/或氟喹诺酮类淋病奈</w:t>
      </w:r>
      <w:r>
        <w:rPr>
          <w:rStyle w:val="29"/>
          <w:rFonts w:hint="eastAsia" w:hAnsi="宋体"/>
          <w:b w:val="0"/>
        </w:rPr>
        <w:t>瑟</w:t>
      </w:r>
      <w:r>
        <w:rPr>
          <w:rStyle w:val="29"/>
          <w:rFonts w:hint="eastAsia" w:hAnsi="宋体"/>
          <w:b w:val="0"/>
          <w:bCs w:val="0"/>
        </w:rPr>
        <w:t>菌；</w:t>
      </w:r>
    </w:p>
    <w:p w14:paraId="59A3422D">
      <w:pPr>
        <w:pStyle w:val="132"/>
        <w:rPr>
          <w:rStyle w:val="29"/>
          <w:rFonts w:hAnsi="宋体"/>
          <w:b w:val="0"/>
          <w:bCs w:val="0"/>
        </w:rPr>
      </w:pPr>
      <w:r>
        <w:rPr>
          <w:rStyle w:val="29"/>
          <w:rFonts w:hint="eastAsia" w:hAnsi="宋体"/>
          <w:b w:val="0"/>
          <w:bCs w:val="0"/>
        </w:rPr>
        <w:t>耐甲氧西林金黄色葡萄球菌 (MRSA)。</w:t>
      </w:r>
    </w:p>
    <w:p w14:paraId="74DED5E6">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B.1.3  中度优先级</w:t>
      </w:r>
    </w:p>
    <w:p w14:paraId="383FB5AF">
      <w:pPr>
        <w:pStyle w:val="56"/>
        <w:ind w:firstLine="420"/>
        <w:rPr>
          <w:rStyle w:val="29"/>
          <w:b w:val="0"/>
          <w:bCs w:val="0"/>
        </w:rPr>
      </w:pPr>
      <w:r>
        <w:rPr>
          <w:rStyle w:val="29"/>
          <w:b w:val="0"/>
          <w:bCs w:val="0"/>
        </w:rPr>
        <w:t>这些病原体存在明确的耐药性威胁，但目前仍有相对较多的治疗选择</w:t>
      </w:r>
      <w:r>
        <w:rPr>
          <w:rStyle w:val="29"/>
          <w:rFonts w:hint="eastAsia"/>
          <w:b w:val="0"/>
          <w:bCs w:val="0"/>
        </w:rPr>
        <w:t>：</w:t>
      </w:r>
    </w:p>
    <w:p w14:paraId="741722FB">
      <w:pPr>
        <w:pStyle w:val="132"/>
        <w:rPr>
          <w:rStyle w:val="29"/>
          <w:rFonts w:hAnsi="宋体"/>
          <w:b w:val="0"/>
          <w:bCs w:val="0"/>
        </w:rPr>
      </w:pPr>
      <w:r>
        <w:rPr>
          <w:rStyle w:val="29"/>
          <w:rFonts w:hint="eastAsia" w:hAnsi="宋体"/>
          <w:b w:val="0"/>
          <w:bCs w:val="0"/>
        </w:rPr>
        <w:t>耐大环内酯类A群链球菌；</w:t>
      </w:r>
    </w:p>
    <w:p w14:paraId="0DB7EFAB">
      <w:pPr>
        <w:pStyle w:val="132"/>
        <w:rPr>
          <w:rStyle w:val="29"/>
          <w:rFonts w:hAnsi="宋体"/>
          <w:b w:val="0"/>
          <w:bCs w:val="0"/>
        </w:rPr>
      </w:pPr>
      <w:r>
        <w:rPr>
          <w:rStyle w:val="29"/>
          <w:rFonts w:hint="eastAsia" w:hAnsi="宋体"/>
          <w:b w:val="0"/>
          <w:bCs w:val="0"/>
        </w:rPr>
        <w:t>耐大环内酯类肺炎链球菌；</w:t>
      </w:r>
    </w:p>
    <w:p w14:paraId="38AEB518">
      <w:pPr>
        <w:pStyle w:val="132"/>
        <w:rPr>
          <w:rStyle w:val="29"/>
          <w:rFonts w:hAnsi="宋体"/>
          <w:b w:val="0"/>
          <w:bCs w:val="0"/>
        </w:rPr>
      </w:pPr>
      <w:r>
        <w:rPr>
          <w:rStyle w:val="29"/>
          <w:rFonts w:hint="eastAsia" w:hAnsi="宋体"/>
          <w:b w:val="0"/>
          <w:bCs w:val="0"/>
        </w:rPr>
        <w:t>耐氨苄西林流感嗜血杆菌；</w:t>
      </w:r>
    </w:p>
    <w:p w14:paraId="15A8A59F">
      <w:pPr>
        <w:pStyle w:val="132"/>
        <w:rPr>
          <w:rStyle w:val="29"/>
          <w:rFonts w:hAnsi="宋体"/>
          <w:b w:val="0"/>
          <w:bCs w:val="0"/>
        </w:rPr>
      </w:pPr>
      <w:r>
        <w:rPr>
          <w:rStyle w:val="29"/>
          <w:rFonts w:hint="eastAsia" w:hAnsi="宋体"/>
          <w:b w:val="0"/>
          <w:bCs w:val="0"/>
        </w:rPr>
        <w:t>耐青霉素B群链球菌。</w:t>
      </w:r>
    </w:p>
    <w:p w14:paraId="73C5E29C">
      <w:pPr>
        <w:pStyle w:val="56"/>
        <w:spacing w:beforeLines="50" w:afterLines="50"/>
        <w:ind w:firstLine="0" w:firstLineChars="0"/>
        <w:rPr>
          <w:rStyle w:val="29"/>
          <w:rFonts w:ascii="黑体" w:hAnsi="黑体" w:eastAsia="黑体" w:cs="黑体"/>
          <w:b w:val="0"/>
          <w:bCs w:val="0"/>
        </w:rPr>
      </w:pPr>
      <w:r>
        <w:rPr>
          <w:rStyle w:val="29"/>
          <w:rFonts w:hint="eastAsia" w:ascii="黑体" w:hAnsi="黑体" w:eastAsia="黑体" w:cs="黑体"/>
          <w:b w:val="0"/>
          <w:bCs w:val="0"/>
        </w:rPr>
        <w:t>B.2  2024年WHO大流行及流行潜力病原体清单</w:t>
      </w:r>
    </w:p>
    <w:p w14:paraId="79B27121">
      <w:pPr>
        <w:pStyle w:val="56"/>
        <w:ind w:firstLine="420"/>
        <w:rPr>
          <w:rStyle w:val="29"/>
          <w:b w:val="0"/>
          <w:bCs w:val="0"/>
        </w:rPr>
      </w:pPr>
      <w:r>
        <w:rPr>
          <w:rStyle w:val="29"/>
          <w:b w:val="0"/>
          <w:bCs w:val="0"/>
        </w:rPr>
        <w:t>清单目标：识别未来最有可能引发疫情或大流行的病原体，以指导全球在疫苗、治疗和诊断方面的优先研发投资。</w:t>
      </w:r>
    </w:p>
    <w:p w14:paraId="259FDB40">
      <w:pPr>
        <w:pStyle w:val="56"/>
        <w:ind w:firstLine="420"/>
        <w:rPr>
          <w:rStyle w:val="29"/>
          <w:b w:val="0"/>
          <w:bCs w:val="0"/>
        </w:rPr>
      </w:pPr>
      <w:r>
        <w:rPr>
          <w:rStyle w:val="29"/>
          <w:b w:val="0"/>
          <w:bCs w:val="0"/>
        </w:rPr>
        <w:t>主要更新：本次评估了超过30个病毒家族/病原体，关键变化在于更加强调病毒家族/属的广度，而不仅仅是单个病毒物种。</w:t>
      </w:r>
    </w:p>
    <w:p w14:paraId="72756928">
      <w:pPr>
        <w:pStyle w:val="56"/>
        <w:spacing w:beforeLines="50" w:afterLines="50"/>
        <w:ind w:firstLine="0" w:firstLineChars="0"/>
        <w:rPr>
          <w:rStyle w:val="29"/>
          <w:rFonts w:hint="eastAsia" w:ascii="黑体" w:hAnsi="黑体" w:eastAsia="黑体" w:cs="黑体"/>
          <w:b w:val="0"/>
          <w:bCs w:val="0"/>
        </w:rPr>
      </w:pPr>
      <w:r>
        <w:rPr>
          <w:rStyle w:val="29"/>
          <w:rFonts w:hint="eastAsia" w:ascii="黑体" w:hAnsi="黑体" w:eastAsia="黑体" w:cs="黑体"/>
          <w:b w:val="0"/>
          <w:bCs w:val="0"/>
        </w:rPr>
        <w:t>B.2.1  重点病原体家族/群组</w:t>
      </w:r>
    </w:p>
    <w:p w14:paraId="3BEF6A9B">
      <w:pPr>
        <w:pStyle w:val="56"/>
        <w:ind w:firstLine="420"/>
        <w:rPr>
          <w:rStyle w:val="29"/>
          <w:rFonts w:ascii="宋体" w:hAnsi="宋体" w:cs="黑体"/>
          <w:b w:val="0"/>
          <w:bCs w:val="0"/>
        </w:rPr>
      </w:pPr>
      <w:r>
        <w:rPr>
          <w:rStyle w:val="29"/>
          <w:rFonts w:hint="eastAsia" w:ascii="宋体" w:hAnsi="宋体" w:cs="黑体"/>
          <w:b w:val="0"/>
          <w:bCs w:val="0"/>
        </w:rPr>
        <w:t>主要有：</w:t>
      </w:r>
    </w:p>
    <w:p w14:paraId="2997A445">
      <w:pPr>
        <w:pStyle w:val="132"/>
        <w:rPr>
          <w:rStyle w:val="29"/>
          <w:b w:val="0"/>
          <w:bCs w:val="0"/>
        </w:rPr>
      </w:pPr>
      <w:r>
        <w:rPr>
          <w:rStyle w:val="29"/>
          <w:b w:val="0"/>
          <w:bCs w:val="0"/>
        </w:rPr>
        <w:t>沙贝冠状病毒属</w:t>
      </w:r>
      <w:r>
        <w:rPr>
          <w:rStyle w:val="29"/>
          <w:rFonts w:hint="eastAsia"/>
          <w:b w:val="0"/>
          <w:bCs w:val="0"/>
        </w:rPr>
        <w:t>：</w:t>
      </w:r>
      <w:r>
        <w:rPr>
          <w:rStyle w:val="29"/>
          <w:b w:val="0"/>
          <w:bCs w:val="0"/>
        </w:rPr>
        <w:t>作为一个完整的病毒属被列入，其中包括已知的SARS-CoV-2、SARS-CoV-1及多种可能从动物溢出至人类的冠状病毒</w:t>
      </w:r>
      <w:r>
        <w:rPr>
          <w:rStyle w:val="29"/>
          <w:rFonts w:hint="eastAsia"/>
          <w:b w:val="0"/>
          <w:bCs w:val="0"/>
        </w:rPr>
        <w:t>；</w:t>
      </w:r>
    </w:p>
    <w:p w14:paraId="519A3A1B">
      <w:pPr>
        <w:pStyle w:val="132"/>
        <w:rPr>
          <w:rStyle w:val="29"/>
          <w:b w:val="0"/>
          <w:bCs w:val="0"/>
        </w:rPr>
      </w:pPr>
      <w:r>
        <w:rPr>
          <w:rStyle w:val="29"/>
          <w:b w:val="0"/>
          <w:bCs w:val="0"/>
        </w:rPr>
        <w:t>梅贝冠状病毒属：同样作为完整属被列入，包含引起中东呼吸综合征的MERS-CoV病毒</w:t>
      </w:r>
      <w:r>
        <w:rPr>
          <w:rStyle w:val="29"/>
          <w:rFonts w:hint="eastAsia"/>
          <w:b w:val="0"/>
          <w:bCs w:val="0"/>
        </w:rPr>
        <w:t>；</w:t>
      </w:r>
    </w:p>
    <w:p w14:paraId="60C2999E">
      <w:pPr>
        <w:pStyle w:val="132"/>
        <w:rPr>
          <w:rStyle w:val="29"/>
          <w:b w:val="0"/>
          <w:bCs w:val="0"/>
        </w:rPr>
      </w:pPr>
      <w:r>
        <w:rPr>
          <w:rStyle w:val="29"/>
          <w:b w:val="0"/>
          <w:bCs w:val="0"/>
        </w:rPr>
        <w:t>甲型流感病毒：重点关注具有大流行潜力的亚型，报告中特别提及了在禽类及哺乳动物（如美国奶牛）中广泛传播的H5N1等禽流感病毒</w:t>
      </w:r>
      <w:r>
        <w:rPr>
          <w:rStyle w:val="29"/>
          <w:rFonts w:hint="eastAsia"/>
          <w:b w:val="0"/>
          <w:bCs w:val="0"/>
        </w:rPr>
        <w:t>；</w:t>
      </w:r>
    </w:p>
    <w:p w14:paraId="1E9286F2">
      <w:pPr>
        <w:pStyle w:val="132"/>
        <w:rPr>
          <w:rStyle w:val="29"/>
          <w:b w:val="0"/>
          <w:bCs w:val="0"/>
        </w:rPr>
      </w:pPr>
      <w:r>
        <w:rPr>
          <w:rStyle w:val="29"/>
          <w:b w:val="0"/>
          <w:bCs w:val="0"/>
        </w:rPr>
        <w:t>猴痘病毒：鉴于2022年以来的多国暴发，其优先级被提升。</w:t>
      </w:r>
    </w:p>
    <w:p w14:paraId="7B704527">
      <w:pPr>
        <w:pStyle w:val="56"/>
        <w:spacing w:beforeLines="50" w:afterLines="50"/>
        <w:ind w:firstLine="0" w:firstLineChars="0"/>
        <w:rPr>
          <w:rStyle w:val="29"/>
          <w:rFonts w:hint="eastAsia" w:ascii="黑体" w:hAnsi="黑体" w:eastAsia="黑体" w:cs="黑体"/>
          <w:b w:val="0"/>
          <w:bCs w:val="0"/>
        </w:rPr>
      </w:pPr>
      <w:r>
        <w:rPr>
          <w:rStyle w:val="29"/>
          <w:rFonts w:hint="eastAsia" w:ascii="黑体" w:hAnsi="黑体" w:eastAsia="黑体" w:cs="黑体"/>
          <w:b w:val="0"/>
          <w:bCs w:val="0"/>
        </w:rPr>
        <w:t>B.2.2  其他重要病原体</w:t>
      </w:r>
    </w:p>
    <w:p w14:paraId="0E3495AF">
      <w:pPr>
        <w:pStyle w:val="56"/>
        <w:ind w:firstLine="420"/>
        <w:rPr>
          <w:rStyle w:val="29"/>
          <w:rFonts w:ascii="宋体" w:hAnsi="宋体" w:cs="黑体"/>
          <w:b w:val="0"/>
          <w:bCs w:val="0"/>
        </w:rPr>
      </w:pPr>
      <w:r>
        <w:rPr>
          <w:rStyle w:val="29"/>
          <w:rFonts w:hint="eastAsia" w:ascii="宋体" w:hAnsi="宋体" w:cs="黑体"/>
          <w:b w:val="0"/>
          <w:bCs w:val="0"/>
        </w:rPr>
        <w:t>主要有：</w:t>
      </w:r>
    </w:p>
    <w:p w14:paraId="27108DA5">
      <w:pPr>
        <w:pStyle w:val="132"/>
        <w:rPr>
          <w:rStyle w:val="29"/>
          <w:b w:val="0"/>
          <w:bCs w:val="0"/>
        </w:rPr>
      </w:pPr>
      <w:r>
        <w:rPr>
          <w:rStyle w:val="29"/>
          <w:b w:val="0"/>
          <w:bCs w:val="0"/>
        </w:rPr>
        <w:t>登革热病毒等虫媒病毒继续被列为重点</w:t>
      </w:r>
      <w:r>
        <w:rPr>
          <w:rStyle w:val="29"/>
          <w:rFonts w:hint="eastAsia"/>
          <w:b w:val="0"/>
          <w:bCs w:val="0"/>
        </w:rPr>
        <w:t>；</w:t>
      </w:r>
    </w:p>
    <w:p w14:paraId="41F1021C">
      <w:pPr>
        <w:pStyle w:val="132"/>
        <w:rPr>
          <w:rStyle w:val="29"/>
          <w:b w:val="0"/>
          <w:bCs w:val="0"/>
        </w:rPr>
      </w:pPr>
      <w:r>
        <w:rPr>
          <w:rStyle w:val="29"/>
          <w:b w:val="0"/>
          <w:bCs w:val="0"/>
        </w:rPr>
        <w:t>细菌性病原体（如引起霍乱、鼠疫的细菌）被首次明确纳入此份以“大流行潜力”为焦点的评估清单中，强调了其可能造成的全球性卫生紧急事件风险。</w:t>
      </w:r>
    </w:p>
    <w:p w14:paraId="1464EBB3">
      <w:pPr>
        <w:pStyle w:val="56"/>
        <w:ind w:firstLine="0" w:firstLineChars="0"/>
        <w:rPr>
          <w:bCs/>
        </w:rPr>
      </w:pPr>
    </w:p>
    <w:p w14:paraId="0A01876B">
      <w:pPr>
        <w:pStyle w:val="56"/>
        <w:ind w:firstLine="420"/>
        <w:sectPr>
          <w:pgSz w:w="11906" w:h="16838"/>
          <w:pgMar w:top="1928" w:right="1134" w:bottom="1134" w:left="1134" w:header="1418" w:footer="1134" w:gutter="284"/>
          <w:cols w:space="425" w:num="1"/>
          <w:formProt w:val="0"/>
          <w:docGrid w:linePitch="312" w:charSpace="0"/>
        </w:sectPr>
      </w:pPr>
    </w:p>
    <w:p w14:paraId="3ED4B6FC">
      <w:pPr>
        <w:pStyle w:val="198"/>
        <w:rPr>
          <w:vanish w:val="0"/>
        </w:rPr>
      </w:pPr>
    </w:p>
    <w:p w14:paraId="4B0980AA">
      <w:pPr>
        <w:pStyle w:val="199"/>
        <w:rPr>
          <w:vanish w:val="0"/>
        </w:rPr>
      </w:pPr>
    </w:p>
    <w:p w14:paraId="70904A91">
      <w:pPr>
        <w:pStyle w:val="76"/>
        <w:spacing w:after="120"/>
        <w:rPr>
          <w:rFonts w:hint="eastAsia"/>
        </w:rPr>
      </w:pPr>
      <w:r>
        <w:br w:type="textWrapping"/>
      </w:r>
      <w:r>
        <w:rPr>
          <w:rFonts w:hint="eastAsia"/>
        </w:rPr>
        <w:t>（资料性）</w:t>
      </w:r>
      <w:r>
        <w:br w:type="textWrapping"/>
      </w:r>
      <w:r>
        <w:rPr>
          <w:rFonts w:hint="eastAsia"/>
        </w:rPr>
        <w:t>分析流程关键步骤及要求</w:t>
      </w:r>
    </w:p>
    <w:p w14:paraId="231708FC">
      <w:pPr>
        <w:pStyle w:val="56"/>
        <w:ind w:firstLine="420"/>
        <w:rPr>
          <w:rStyle w:val="29"/>
          <w:rFonts w:hint="eastAsia" w:ascii="宋体" w:hAnsi="宋体" w:cs="黑体"/>
          <w:b w:val="0"/>
          <w:szCs w:val="21"/>
        </w:rPr>
      </w:pPr>
      <w:r>
        <w:rPr>
          <w:rStyle w:val="29"/>
          <w:rFonts w:hint="eastAsia" w:ascii="宋体" w:hAnsi="宋体" w:cs="黑体"/>
          <w:b w:val="0"/>
          <w:szCs w:val="21"/>
        </w:rPr>
        <w:t>分析流程关键步骤及要求见表C.1。</w:t>
      </w:r>
    </w:p>
    <w:p w14:paraId="1CE0CA61">
      <w:pPr>
        <w:pStyle w:val="77"/>
        <w:spacing w:before="120" w:after="120"/>
        <w:rPr>
          <w:rStyle w:val="29"/>
          <w:rFonts w:ascii="宋体" w:hAnsi="宋体" w:eastAsia="宋体" w:cs="黑体"/>
          <w:b w:val="0"/>
          <w:szCs w:val="21"/>
        </w:rPr>
      </w:pPr>
      <w:r>
        <w:rPr>
          <w:rFonts w:hint="eastAsia"/>
        </w:rPr>
        <w:t>分析流程关键步骤及要求</w:t>
      </w:r>
    </w:p>
    <w:tbl>
      <w:tblPr>
        <w:tblStyle w:val="26"/>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15" w:type="dxa"/>
          <w:left w:w="100" w:type="dxa"/>
          <w:bottom w:w="15" w:type="dxa"/>
          <w:right w:w="100" w:type="dxa"/>
        </w:tblCellMar>
      </w:tblPr>
      <w:tblGrid>
        <w:gridCol w:w="1172"/>
        <w:gridCol w:w="2540"/>
        <w:gridCol w:w="2835"/>
        <w:gridCol w:w="2917"/>
      </w:tblGrid>
      <w:tr w14:paraId="6F6325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rPr>
          <w:tblHeader/>
        </w:trPr>
        <w:tc>
          <w:tcPr>
            <w:tcW w:w="619" w:type="pct"/>
            <w:tcBorders>
              <w:top w:val="single" w:color="auto" w:sz="8" w:space="0"/>
              <w:bottom w:val="single" w:color="auto" w:sz="8" w:space="0"/>
            </w:tcBorders>
            <w:tcMar>
              <w:top w:w="100" w:type="dxa"/>
              <w:left w:w="0" w:type="dxa"/>
              <w:bottom w:w="100" w:type="dxa"/>
              <w:right w:w="160" w:type="dxa"/>
            </w:tcMar>
            <w:vAlign w:val="center"/>
          </w:tcPr>
          <w:p w14:paraId="62B39E72">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步骤</w:t>
            </w:r>
          </w:p>
        </w:tc>
        <w:tc>
          <w:tcPr>
            <w:tcW w:w="1342" w:type="pct"/>
            <w:tcBorders>
              <w:top w:val="single" w:color="auto" w:sz="8" w:space="0"/>
              <w:bottom w:val="single" w:color="auto" w:sz="8" w:space="0"/>
            </w:tcBorders>
            <w:tcMar>
              <w:top w:w="100" w:type="dxa"/>
              <w:left w:w="160" w:type="dxa"/>
              <w:bottom w:w="100" w:type="dxa"/>
              <w:right w:w="160" w:type="dxa"/>
            </w:tcMar>
            <w:vAlign w:val="center"/>
          </w:tcPr>
          <w:p w14:paraId="3D2CC687">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操作内容</w:t>
            </w:r>
          </w:p>
        </w:tc>
        <w:tc>
          <w:tcPr>
            <w:tcW w:w="1498" w:type="pct"/>
            <w:tcBorders>
              <w:top w:val="single" w:color="auto" w:sz="8" w:space="0"/>
              <w:bottom w:val="single" w:color="auto" w:sz="8" w:space="0"/>
            </w:tcBorders>
            <w:tcMar>
              <w:top w:w="100" w:type="dxa"/>
              <w:left w:w="0" w:type="dxa"/>
              <w:bottom w:w="100" w:type="dxa"/>
            </w:tcMar>
            <w:vAlign w:val="center"/>
          </w:tcPr>
          <w:p w14:paraId="7CF8A862">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质控判据</w:t>
            </w:r>
          </w:p>
        </w:tc>
        <w:tc>
          <w:tcPr>
            <w:tcW w:w="1541" w:type="pct"/>
            <w:tcBorders>
              <w:top w:val="single" w:color="auto" w:sz="8" w:space="0"/>
              <w:bottom w:val="single" w:color="auto" w:sz="8" w:space="0"/>
            </w:tcBorders>
            <w:tcMar>
              <w:top w:w="100" w:type="dxa"/>
              <w:left w:w="0" w:type="dxa"/>
              <w:bottom w:w="100" w:type="dxa"/>
            </w:tcMar>
            <w:vAlign w:val="center"/>
          </w:tcPr>
          <w:p w14:paraId="5E13D586">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异常处理</w:t>
            </w:r>
          </w:p>
        </w:tc>
      </w:tr>
      <w:tr w14:paraId="52F408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619" w:type="pct"/>
            <w:tcBorders>
              <w:top w:val="single" w:color="auto" w:sz="8" w:space="0"/>
            </w:tcBorders>
            <w:tcMar>
              <w:top w:w="100" w:type="dxa"/>
              <w:left w:w="0" w:type="dxa"/>
              <w:bottom w:w="100" w:type="dxa"/>
              <w:right w:w="160" w:type="dxa"/>
            </w:tcMar>
            <w:vAlign w:val="center"/>
          </w:tcPr>
          <w:p w14:paraId="41D296A2">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质控</w:t>
            </w:r>
          </w:p>
        </w:tc>
        <w:tc>
          <w:tcPr>
            <w:tcW w:w="1342" w:type="pct"/>
            <w:tcBorders>
              <w:top w:val="single" w:color="auto" w:sz="8" w:space="0"/>
            </w:tcBorders>
            <w:tcMar>
              <w:top w:w="100" w:type="dxa"/>
              <w:left w:w="160" w:type="dxa"/>
              <w:bottom w:w="100" w:type="dxa"/>
              <w:right w:w="160" w:type="dxa"/>
            </w:tcMar>
            <w:vAlign w:val="center"/>
          </w:tcPr>
          <w:p w14:paraId="29CB4FE4">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低质量reads过滤</w:t>
            </w:r>
          </w:p>
        </w:tc>
        <w:tc>
          <w:tcPr>
            <w:tcW w:w="1498" w:type="pct"/>
            <w:tcBorders>
              <w:top w:val="single" w:color="auto" w:sz="8" w:space="0"/>
            </w:tcBorders>
            <w:tcMar>
              <w:top w:w="100" w:type="dxa"/>
              <w:left w:w="0" w:type="dxa"/>
              <w:bottom w:w="100" w:type="dxa"/>
            </w:tcMar>
            <w:vAlign w:val="center"/>
          </w:tcPr>
          <w:p w14:paraId="11501C7A">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符合第6章技术要求</w:t>
            </w:r>
          </w:p>
        </w:tc>
        <w:tc>
          <w:tcPr>
            <w:tcW w:w="1541" w:type="pct"/>
            <w:tcBorders>
              <w:top w:val="single" w:color="auto" w:sz="8" w:space="0"/>
            </w:tcBorders>
            <w:tcMar>
              <w:top w:w="100" w:type="dxa"/>
              <w:left w:w="160" w:type="dxa"/>
              <w:bottom w:w="100" w:type="dxa"/>
              <w:right w:w="0" w:type="dxa"/>
            </w:tcMar>
            <w:vAlign w:val="center"/>
          </w:tcPr>
          <w:p w14:paraId="5C8A9894">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重新质控或排除样本</w:t>
            </w:r>
          </w:p>
        </w:tc>
      </w:tr>
      <w:tr w14:paraId="301C2D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619" w:type="pct"/>
            <w:tcMar>
              <w:top w:w="100" w:type="dxa"/>
              <w:left w:w="0" w:type="dxa"/>
              <w:bottom w:w="100" w:type="dxa"/>
              <w:right w:w="160" w:type="dxa"/>
            </w:tcMar>
            <w:vAlign w:val="center"/>
          </w:tcPr>
          <w:p w14:paraId="0CCC95D9">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去宿主</w:t>
            </w:r>
          </w:p>
        </w:tc>
        <w:tc>
          <w:tcPr>
            <w:tcW w:w="1342" w:type="pct"/>
            <w:tcMar>
              <w:top w:w="100" w:type="dxa"/>
              <w:left w:w="160" w:type="dxa"/>
              <w:bottom w:w="100" w:type="dxa"/>
              <w:right w:w="160" w:type="dxa"/>
            </w:tcMar>
            <w:vAlign w:val="center"/>
          </w:tcPr>
          <w:p w14:paraId="47A1B613">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宿主序列去除</w:t>
            </w:r>
          </w:p>
        </w:tc>
        <w:tc>
          <w:tcPr>
            <w:tcW w:w="1498" w:type="pct"/>
            <w:tcMar>
              <w:top w:w="100" w:type="dxa"/>
              <w:left w:w="0" w:type="dxa"/>
              <w:bottom w:w="100" w:type="dxa"/>
            </w:tcMar>
            <w:vAlign w:val="center"/>
          </w:tcPr>
          <w:p w14:paraId="3E17D0F3">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宿主核酸去除率≥95%</w:t>
            </w:r>
          </w:p>
        </w:tc>
        <w:tc>
          <w:tcPr>
            <w:tcW w:w="1541" w:type="pct"/>
            <w:tcMar>
              <w:top w:w="100" w:type="dxa"/>
              <w:left w:w="160" w:type="dxa"/>
              <w:bottom w:w="100" w:type="dxa"/>
              <w:right w:w="0" w:type="dxa"/>
            </w:tcMar>
            <w:vAlign w:val="center"/>
          </w:tcPr>
          <w:p w14:paraId="1E51034B">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检查参考基因组完整性</w:t>
            </w:r>
          </w:p>
        </w:tc>
      </w:tr>
      <w:tr w14:paraId="5AE183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619" w:type="pct"/>
            <w:tcMar>
              <w:top w:w="100" w:type="dxa"/>
              <w:left w:w="0" w:type="dxa"/>
              <w:bottom w:w="100" w:type="dxa"/>
              <w:right w:w="160" w:type="dxa"/>
            </w:tcMar>
            <w:vAlign w:val="center"/>
          </w:tcPr>
          <w:p w14:paraId="7AAB6449">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初步分类</w:t>
            </w:r>
          </w:p>
        </w:tc>
        <w:tc>
          <w:tcPr>
            <w:tcW w:w="1342" w:type="pct"/>
            <w:tcMar>
              <w:top w:w="100" w:type="dxa"/>
              <w:left w:w="160" w:type="dxa"/>
              <w:bottom w:w="100" w:type="dxa"/>
              <w:right w:w="160" w:type="dxa"/>
            </w:tcMar>
            <w:vAlign w:val="center"/>
          </w:tcPr>
          <w:p w14:paraId="03323C6C">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Kraken2分析</w:t>
            </w:r>
          </w:p>
        </w:tc>
        <w:tc>
          <w:tcPr>
            <w:tcW w:w="1498" w:type="pct"/>
            <w:tcMar>
              <w:top w:w="100" w:type="dxa"/>
              <w:left w:w="0" w:type="dxa"/>
              <w:bottom w:w="100" w:type="dxa"/>
            </w:tcMar>
            <w:vAlign w:val="center"/>
          </w:tcPr>
          <w:p w14:paraId="31FAE4C9">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符合6.3要求</w:t>
            </w:r>
          </w:p>
        </w:tc>
        <w:tc>
          <w:tcPr>
            <w:tcW w:w="1541" w:type="pct"/>
            <w:tcMar>
              <w:top w:w="100" w:type="dxa"/>
              <w:left w:w="160" w:type="dxa"/>
              <w:bottom w:w="100" w:type="dxa"/>
              <w:right w:w="0" w:type="dxa"/>
            </w:tcMar>
            <w:vAlign w:val="center"/>
          </w:tcPr>
          <w:p w14:paraId="5F750FF5">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调整参数或数据库</w:t>
            </w:r>
          </w:p>
        </w:tc>
      </w:tr>
      <w:tr w14:paraId="087841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619" w:type="pct"/>
            <w:tcMar>
              <w:top w:w="100" w:type="dxa"/>
              <w:left w:w="0" w:type="dxa"/>
              <w:bottom w:w="100" w:type="dxa"/>
              <w:right w:w="160" w:type="dxa"/>
            </w:tcMar>
            <w:vAlign w:val="center"/>
          </w:tcPr>
          <w:p w14:paraId="3DA636A0">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精细比对</w:t>
            </w:r>
          </w:p>
        </w:tc>
        <w:tc>
          <w:tcPr>
            <w:tcW w:w="1342" w:type="pct"/>
            <w:tcMar>
              <w:top w:w="100" w:type="dxa"/>
              <w:left w:w="160" w:type="dxa"/>
              <w:bottom w:w="100" w:type="dxa"/>
              <w:right w:w="160" w:type="dxa"/>
            </w:tcMar>
            <w:vAlign w:val="center"/>
          </w:tcPr>
          <w:p w14:paraId="22C99F0D">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Bowtie2比对</w:t>
            </w:r>
          </w:p>
        </w:tc>
        <w:tc>
          <w:tcPr>
            <w:tcW w:w="1498" w:type="pct"/>
            <w:tcMar>
              <w:top w:w="100" w:type="dxa"/>
              <w:left w:w="0" w:type="dxa"/>
              <w:bottom w:w="100" w:type="dxa"/>
            </w:tcMar>
            <w:vAlign w:val="center"/>
          </w:tcPr>
          <w:p w14:paraId="456618CB">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MAPQ≥30</w:t>
            </w:r>
          </w:p>
        </w:tc>
        <w:tc>
          <w:tcPr>
            <w:tcW w:w="1541" w:type="pct"/>
            <w:tcMar>
              <w:top w:w="100" w:type="dxa"/>
              <w:left w:w="160" w:type="dxa"/>
              <w:bottom w:w="100" w:type="dxa"/>
              <w:right w:w="0" w:type="dxa"/>
            </w:tcMar>
            <w:vAlign w:val="center"/>
          </w:tcPr>
          <w:p w14:paraId="46B1D90C">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检查参考基因组质量</w:t>
            </w:r>
          </w:p>
        </w:tc>
      </w:tr>
      <w:tr w14:paraId="4B866F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619" w:type="pct"/>
            <w:tcMar>
              <w:top w:w="100" w:type="dxa"/>
              <w:left w:w="0" w:type="dxa"/>
              <w:bottom w:w="100" w:type="dxa"/>
              <w:right w:w="160" w:type="dxa"/>
            </w:tcMar>
            <w:vAlign w:val="center"/>
          </w:tcPr>
          <w:p w14:paraId="13816CAA">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相似性验证</w:t>
            </w:r>
          </w:p>
        </w:tc>
        <w:tc>
          <w:tcPr>
            <w:tcW w:w="1342" w:type="pct"/>
            <w:tcMar>
              <w:top w:w="100" w:type="dxa"/>
              <w:left w:w="160" w:type="dxa"/>
              <w:bottom w:w="100" w:type="dxa"/>
              <w:right w:w="160" w:type="dxa"/>
            </w:tcMar>
            <w:vAlign w:val="center"/>
          </w:tcPr>
          <w:p w14:paraId="25AB93DC">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BLAST验证</w:t>
            </w:r>
          </w:p>
        </w:tc>
        <w:tc>
          <w:tcPr>
            <w:tcW w:w="1498" w:type="pct"/>
            <w:tcMar>
              <w:top w:w="100" w:type="dxa"/>
              <w:left w:w="0" w:type="dxa"/>
              <w:bottom w:w="100" w:type="dxa"/>
            </w:tcMar>
            <w:vAlign w:val="center"/>
          </w:tcPr>
          <w:p w14:paraId="3C1A0A40">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e-value=1e-5</w:t>
            </w:r>
          </w:p>
        </w:tc>
        <w:tc>
          <w:tcPr>
            <w:tcW w:w="1541" w:type="pct"/>
            <w:tcMar>
              <w:top w:w="100" w:type="dxa"/>
              <w:left w:w="160" w:type="dxa"/>
              <w:bottom w:w="100" w:type="dxa"/>
              <w:right w:w="0" w:type="dxa"/>
            </w:tcMar>
            <w:vAlign w:val="center"/>
          </w:tcPr>
          <w:p w14:paraId="3C7039CE">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手动审核比对结果</w:t>
            </w:r>
          </w:p>
        </w:tc>
      </w:tr>
      <w:tr w14:paraId="1D56F6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619" w:type="pct"/>
            <w:tcMar>
              <w:top w:w="100" w:type="dxa"/>
              <w:left w:w="0" w:type="dxa"/>
              <w:bottom w:w="100" w:type="dxa"/>
              <w:right w:w="160" w:type="dxa"/>
            </w:tcMar>
            <w:vAlign w:val="center"/>
          </w:tcPr>
          <w:p w14:paraId="71EBE9A4">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评分报告</w:t>
            </w:r>
          </w:p>
        </w:tc>
        <w:tc>
          <w:tcPr>
            <w:tcW w:w="1342" w:type="pct"/>
            <w:tcMar>
              <w:top w:w="100" w:type="dxa"/>
              <w:left w:w="160" w:type="dxa"/>
              <w:bottom w:w="100" w:type="dxa"/>
              <w:right w:w="160" w:type="dxa"/>
            </w:tcMar>
            <w:vAlign w:val="center"/>
          </w:tcPr>
          <w:p w14:paraId="07907AAA">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NPAS计算</w:t>
            </w:r>
          </w:p>
        </w:tc>
        <w:tc>
          <w:tcPr>
            <w:tcW w:w="1498" w:type="pct"/>
            <w:tcMar>
              <w:top w:w="100" w:type="dxa"/>
              <w:left w:w="0" w:type="dxa"/>
              <w:bottom w:w="100" w:type="dxa"/>
            </w:tcMar>
            <w:vAlign w:val="center"/>
          </w:tcPr>
          <w:p w14:paraId="28709C3F">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按8.2公式计算</w:t>
            </w:r>
          </w:p>
        </w:tc>
        <w:tc>
          <w:tcPr>
            <w:tcW w:w="1541" w:type="pct"/>
            <w:tcMar>
              <w:top w:w="100" w:type="dxa"/>
              <w:left w:w="160" w:type="dxa"/>
              <w:bottom w:w="100" w:type="dxa"/>
              <w:right w:w="0" w:type="dxa"/>
            </w:tcMar>
            <w:vAlign w:val="center"/>
          </w:tcPr>
          <w:p w14:paraId="3434F716">
            <w:pPr>
              <w:pStyle w:val="56"/>
              <w:ind w:firstLine="0" w:firstLineChars="0"/>
              <w:jc w:val="center"/>
              <w:rPr>
                <w:rStyle w:val="29"/>
                <w:rFonts w:ascii="宋体" w:hAnsi="宋体"/>
                <w:b w:val="0"/>
                <w:bCs w:val="0"/>
                <w:color w:val="000000" w:themeColor="text1"/>
                <w:sz w:val="18"/>
                <w:szCs w:val="18"/>
                <w14:textFill>
                  <w14:solidFill>
                    <w14:schemeClr w14:val="tx1"/>
                  </w14:solidFill>
                </w14:textFill>
              </w:rPr>
            </w:pPr>
            <w:r>
              <w:rPr>
                <w:rStyle w:val="29"/>
                <w:rFonts w:ascii="宋体" w:hAnsi="宋体"/>
                <w:b w:val="0"/>
                <w:bCs w:val="0"/>
                <w:color w:val="000000" w:themeColor="text1"/>
                <w:sz w:val="18"/>
                <w:szCs w:val="18"/>
                <w14:textFill>
                  <w14:solidFill>
                    <w14:schemeClr w14:val="tx1"/>
                  </w14:solidFill>
                </w14:textFill>
              </w:rPr>
              <w:t>复核临界值结果</w:t>
            </w:r>
          </w:p>
        </w:tc>
      </w:tr>
    </w:tbl>
    <w:p w14:paraId="2F948C10">
      <w:pPr>
        <w:pStyle w:val="76"/>
        <w:numPr>
          <w:ilvl w:val="0"/>
          <w:numId w:val="0"/>
        </w:numPr>
        <w:spacing w:after="120"/>
      </w:pPr>
    </w:p>
    <w:p w14:paraId="6901B6F4">
      <w:pPr>
        <w:pStyle w:val="56"/>
        <w:ind w:firstLine="420"/>
        <w:sectPr>
          <w:pgSz w:w="11906" w:h="16838"/>
          <w:pgMar w:top="1928" w:right="1134" w:bottom="1134" w:left="1134" w:header="1418" w:footer="1134" w:gutter="284"/>
          <w:cols w:space="425" w:num="1"/>
          <w:formProt w:val="0"/>
          <w:docGrid w:linePitch="312" w:charSpace="0"/>
        </w:sectPr>
      </w:pPr>
    </w:p>
    <w:p w14:paraId="233749C5">
      <w:pPr>
        <w:pStyle w:val="198"/>
        <w:rPr>
          <w:vanish w:val="0"/>
        </w:rPr>
      </w:pPr>
    </w:p>
    <w:p w14:paraId="31F7E5D2">
      <w:pPr>
        <w:pStyle w:val="199"/>
        <w:rPr>
          <w:vanish w:val="0"/>
        </w:rPr>
      </w:pPr>
    </w:p>
    <w:p w14:paraId="3BC287CE">
      <w:pPr>
        <w:pStyle w:val="76"/>
        <w:spacing w:after="120"/>
        <w:rPr>
          <w:rFonts w:hint="eastAsia"/>
        </w:rPr>
      </w:pPr>
      <w:r>
        <w:br w:type="textWrapping"/>
      </w:r>
      <w:r>
        <w:rPr>
          <w:rFonts w:hint="eastAsia"/>
        </w:rPr>
        <w:t>（资料性）</w:t>
      </w:r>
      <w:r>
        <w:br w:type="textWrapping"/>
      </w:r>
      <w:r>
        <w:rPr>
          <w:rFonts w:hint="eastAsia"/>
        </w:rPr>
        <w:t>分级标准评价</w:t>
      </w:r>
    </w:p>
    <w:p w14:paraId="26BF7A2F">
      <w:pPr>
        <w:pStyle w:val="56"/>
        <w:ind w:firstLine="420"/>
        <w:rPr>
          <w:rFonts w:hint="eastAsia" w:ascii="宋体" w:hAnsi="宋体"/>
        </w:rPr>
      </w:pPr>
      <w:r>
        <w:rPr>
          <w:rFonts w:hint="eastAsia" w:ascii="宋体" w:hAnsi="宋体"/>
        </w:rPr>
        <w:t>分级标准评见表D.1。</w:t>
      </w:r>
    </w:p>
    <w:p w14:paraId="761DEA10">
      <w:pPr>
        <w:pStyle w:val="77"/>
        <w:spacing w:before="120" w:after="120"/>
      </w:pPr>
      <w:r>
        <w:rPr>
          <w:rFonts w:hint="eastAsia"/>
        </w:rPr>
        <w:t>分级标准评价</w:t>
      </w:r>
    </w:p>
    <w:tbl>
      <w:tblPr>
        <w:tblStyle w:val="26"/>
        <w:tblpPr w:leftFromText="180" w:rightFromText="180" w:vertAnchor="text" w:horzAnchor="page" w:tblpXSpec="center" w:tblpY="11"/>
        <w:tblOverlap w:val="never"/>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FFFFFF"/>
        <w:tblLayout w:type="autofit"/>
        <w:tblCellMar>
          <w:top w:w="15" w:type="dxa"/>
          <w:left w:w="100" w:type="dxa"/>
          <w:bottom w:w="15" w:type="dxa"/>
          <w:right w:w="100" w:type="dxa"/>
        </w:tblCellMar>
      </w:tblPr>
      <w:tblGrid>
        <w:gridCol w:w="2205"/>
        <w:gridCol w:w="7509"/>
      </w:tblGrid>
      <w:tr w14:paraId="58F779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FFFFFF"/>
          <w:tblCellMar>
            <w:top w:w="15" w:type="dxa"/>
            <w:left w:w="100" w:type="dxa"/>
            <w:bottom w:w="15" w:type="dxa"/>
            <w:right w:w="100" w:type="dxa"/>
          </w:tblCellMar>
        </w:tblPrEx>
        <w:trPr>
          <w:tblHeader/>
        </w:trPr>
        <w:tc>
          <w:tcPr>
            <w:tcW w:w="1135" w:type="pct"/>
            <w:tcBorders>
              <w:top w:val="single" w:color="auto" w:sz="8" w:space="0"/>
              <w:bottom w:val="single" w:color="auto" w:sz="8" w:space="0"/>
            </w:tcBorders>
            <w:shd w:val="clear" w:color="auto" w:fill="FFFFFF"/>
            <w:tcMar>
              <w:top w:w="120" w:type="dxa"/>
              <w:left w:w="180" w:type="dxa"/>
              <w:bottom w:w="120" w:type="dxa"/>
              <w:right w:w="180" w:type="dxa"/>
            </w:tcMar>
            <w:vAlign w:val="center"/>
          </w:tcPr>
          <w:p w14:paraId="798211BD">
            <w:pPr>
              <w:pStyle w:val="56"/>
              <w:ind w:firstLine="0" w:firstLineChars="0"/>
              <w:jc w:val="center"/>
              <w:rPr>
                <w:rFonts w:ascii="宋体" w:hAnsi="宋体"/>
                <w:sz w:val="18"/>
                <w:szCs w:val="18"/>
              </w:rPr>
            </w:pPr>
            <w:r>
              <w:rPr>
                <w:rFonts w:ascii="宋体" w:hAnsi="宋体"/>
                <w:sz w:val="18"/>
                <w:szCs w:val="18"/>
              </w:rPr>
              <w:t>NPAS 得分范围</w:t>
            </w:r>
          </w:p>
        </w:tc>
        <w:tc>
          <w:tcPr>
            <w:tcW w:w="3865" w:type="pct"/>
            <w:tcBorders>
              <w:top w:val="single" w:color="auto" w:sz="8" w:space="0"/>
              <w:bottom w:val="single" w:color="auto" w:sz="8" w:space="0"/>
            </w:tcBorders>
            <w:shd w:val="clear" w:color="auto" w:fill="FFFFFF"/>
            <w:tcMar>
              <w:top w:w="120" w:type="dxa"/>
              <w:left w:w="180" w:type="dxa"/>
              <w:bottom w:w="120" w:type="dxa"/>
              <w:right w:w="180" w:type="dxa"/>
            </w:tcMar>
            <w:vAlign w:val="center"/>
          </w:tcPr>
          <w:p w14:paraId="0233C8F4">
            <w:pPr>
              <w:pStyle w:val="56"/>
              <w:ind w:firstLine="0" w:firstLineChars="0"/>
              <w:jc w:val="center"/>
              <w:rPr>
                <w:rFonts w:ascii="宋体" w:hAnsi="宋体"/>
                <w:sz w:val="18"/>
                <w:szCs w:val="18"/>
              </w:rPr>
            </w:pPr>
            <w:r>
              <w:rPr>
                <w:rFonts w:ascii="宋体" w:hAnsi="宋体"/>
                <w:sz w:val="18"/>
                <w:szCs w:val="18"/>
              </w:rPr>
              <w:t>处置建议</w:t>
            </w:r>
          </w:p>
        </w:tc>
      </w:tr>
      <w:tr w14:paraId="30F644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1135" w:type="pct"/>
            <w:tcBorders>
              <w:top w:val="single" w:color="auto" w:sz="8" w:space="0"/>
            </w:tcBorders>
            <w:shd w:val="clear" w:color="auto" w:fill="FFFFFF"/>
            <w:tcMar>
              <w:top w:w="120" w:type="dxa"/>
              <w:left w:w="180" w:type="dxa"/>
              <w:bottom w:w="120" w:type="dxa"/>
              <w:right w:w="180" w:type="dxa"/>
            </w:tcMar>
            <w:vAlign w:val="center"/>
          </w:tcPr>
          <w:p w14:paraId="16E7AEE3">
            <w:pPr>
              <w:pStyle w:val="56"/>
              <w:ind w:firstLine="0" w:firstLineChars="0"/>
              <w:jc w:val="center"/>
              <w:rPr>
                <w:rFonts w:ascii="宋体" w:hAnsi="宋体"/>
                <w:sz w:val="18"/>
                <w:szCs w:val="18"/>
              </w:rPr>
            </w:pPr>
            <w:r>
              <w:rPr>
                <w:rFonts w:ascii="宋体" w:hAnsi="宋体"/>
                <w:sz w:val="18"/>
                <w:szCs w:val="18"/>
              </w:rPr>
              <w:t>＞2.0</w:t>
            </w:r>
            <w:r>
              <w:rPr>
                <w:rFonts w:hint="eastAsia" w:ascii="宋体" w:hAnsi="宋体"/>
                <w:sz w:val="18"/>
                <w:szCs w:val="18"/>
              </w:rPr>
              <w:t xml:space="preserve"> （高相关）</w:t>
            </w:r>
          </w:p>
        </w:tc>
        <w:tc>
          <w:tcPr>
            <w:tcW w:w="3865" w:type="pct"/>
            <w:tcBorders>
              <w:top w:val="single" w:color="auto" w:sz="8" w:space="0"/>
            </w:tcBorders>
            <w:shd w:val="clear" w:color="auto" w:fill="FFFFFF"/>
            <w:tcMar>
              <w:top w:w="120" w:type="dxa"/>
              <w:left w:w="180" w:type="dxa"/>
              <w:bottom w:w="120" w:type="dxa"/>
              <w:right w:w="180" w:type="dxa"/>
            </w:tcMar>
            <w:vAlign w:val="center"/>
          </w:tcPr>
          <w:p w14:paraId="59D353E7">
            <w:pPr>
              <w:pStyle w:val="56"/>
              <w:ind w:firstLine="0" w:firstLineChars="0"/>
              <w:jc w:val="center"/>
              <w:rPr>
                <w:rFonts w:ascii="宋体" w:hAnsi="宋体"/>
                <w:sz w:val="18"/>
                <w:szCs w:val="18"/>
              </w:rPr>
            </w:pPr>
            <w:r>
              <w:rPr>
                <w:rFonts w:ascii="宋体" w:hAnsi="宋体"/>
                <w:sz w:val="18"/>
                <w:szCs w:val="18"/>
              </w:rPr>
              <w:t>高度提示与感染相关，可用于临床决策</w:t>
            </w:r>
          </w:p>
        </w:tc>
      </w:tr>
      <w:tr w14:paraId="2738B7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1135" w:type="pct"/>
            <w:shd w:val="clear" w:color="auto" w:fill="FFFFFF"/>
            <w:tcMar>
              <w:top w:w="120" w:type="dxa"/>
              <w:left w:w="180" w:type="dxa"/>
              <w:bottom w:w="120" w:type="dxa"/>
              <w:right w:w="180" w:type="dxa"/>
            </w:tcMar>
            <w:vAlign w:val="center"/>
          </w:tcPr>
          <w:p w14:paraId="3C0FB1A8">
            <w:pPr>
              <w:pStyle w:val="56"/>
              <w:ind w:firstLine="0" w:firstLineChars="0"/>
              <w:jc w:val="center"/>
              <w:rPr>
                <w:rFonts w:ascii="宋体" w:hAnsi="宋体"/>
                <w:sz w:val="18"/>
                <w:szCs w:val="18"/>
              </w:rPr>
            </w:pPr>
            <w:r>
              <w:rPr>
                <w:rFonts w:ascii="宋体" w:hAnsi="宋体"/>
                <w:sz w:val="18"/>
                <w:szCs w:val="18"/>
              </w:rPr>
              <w:t>1.0～2.0</w:t>
            </w:r>
            <w:r>
              <w:rPr>
                <w:rFonts w:hint="eastAsia" w:ascii="宋体" w:hAnsi="宋体"/>
                <w:sz w:val="18"/>
                <w:szCs w:val="18"/>
              </w:rPr>
              <w:t xml:space="preserve"> （中相关）</w:t>
            </w:r>
          </w:p>
        </w:tc>
        <w:tc>
          <w:tcPr>
            <w:tcW w:w="3865" w:type="pct"/>
            <w:shd w:val="clear" w:color="auto" w:fill="FFFFFF"/>
            <w:tcMar>
              <w:top w:w="120" w:type="dxa"/>
              <w:left w:w="180" w:type="dxa"/>
              <w:bottom w:w="120" w:type="dxa"/>
              <w:right w:w="180" w:type="dxa"/>
            </w:tcMar>
            <w:vAlign w:val="center"/>
          </w:tcPr>
          <w:p w14:paraId="1C4BFCC4">
            <w:pPr>
              <w:pStyle w:val="56"/>
              <w:ind w:firstLine="0" w:firstLineChars="0"/>
              <w:jc w:val="center"/>
              <w:rPr>
                <w:rFonts w:ascii="宋体" w:hAnsi="宋体"/>
                <w:sz w:val="18"/>
                <w:szCs w:val="18"/>
              </w:rPr>
            </w:pPr>
            <w:r>
              <w:rPr>
                <w:rFonts w:ascii="宋体" w:hAnsi="宋体"/>
                <w:sz w:val="18"/>
                <w:szCs w:val="18"/>
              </w:rPr>
              <w:t>可能与感染相关，建议结合临床症状复核</w:t>
            </w:r>
          </w:p>
        </w:tc>
      </w:tr>
      <w:tr w14:paraId="7AA8FF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1135" w:type="pct"/>
            <w:shd w:val="clear" w:color="auto" w:fill="FFFFFF"/>
            <w:tcMar>
              <w:top w:w="120" w:type="dxa"/>
              <w:left w:w="180" w:type="dxa"/>
              <w:bottom w:w="120" w:type="dxa"/>
              <w:right w:w="180" w:type="dxa"/>
            </w:tcMar>
            <w:vAlign w:val="center"/>
          </w:tcPr>
          <w:p w14:paraId="50B6DEB0">
            <w:pPr>
              <w:pStyle w:val="56"/>
              <w:ind w:firstLine="0" w:firstLineChars="0"/>
              <w:jc w:val="center"/>
              <w:rPr>
                <w:rFonts w:ascii="宋体" w:hAnsi="宋体"/>
                <w:sz w:val="18"/>
                <w:szCs w:val="18"/>
              </w:rPr>
            </w:pPr>
            <w:r>
              <w:rPr>
                <w:rFonts w:ascii="宋体" w:hAnsi="宋体"/>
                <w:sz w:val="18"/>
                <w:szCs w:val="18"/>
              </w:rPr>
              <w:t>0～1.0</w:t>
            </w:r>
            <w:r>
              <w:rPr>
                <w:rFonts w:hint="eastAsia" w:ascii="宋体" w:hAnsi="宋体"/>
                <w:sz w:val="18"/>
                <w:szCs w:val="18"/>
              </w:rPr>
              <w:t xml:space="preserve"> （低相关）</w:t>
            </w:r>
          </w:p>
        </w:tc>
        <w:tc>
          <w:tcPr>
            <w:tcW w:w="3865" w:type="pct"/>
            <w:shd w:val="clear" w:color="auto" w:fill="FFFFFF"/>
            <w:tcMar>
              <w:top w:w="120" w:type="dxa"/>
              <w:left w:w="180" w:type="dxa"/>
              <w:bottom w:w="120" w:type="dxa"/>
              <w:right w:w="180" w:type="dxa"/>
            </w:tcMar>
            <w:vAlign w:val="center"/>
          </w:tcPr>
          <w:p w14:paraId="17BD8186">
            <w:pPr>
              <w:pStyle w:val="56"/>
              <w:ind w:firstLine="0" w:firstLineChars="0"/>
              <w:jc w:val="center"/>
              <w:rPr>
                <w:rFonts w:ascii="宋体" w:hAnsi="宋体"/>
                <w:sz w:val="18"/>
                <w:szCs w:val="18"/>
              </w:rPr>
            </w:pPr>
            <w:r>
              <w:rPr>
                <w:rFonts w:ascii="宋体" w:hAnsi="宋体"/>
                <w:sz w:val="18"/>
                <w:szCs w:val="18"/>
              </w:rPr>
              <w:t>关联性较低，需进一步验证</w:t>
            </w:r>
          </w:p>
        </w:tc>
      </w:tr>
      <w:tr w14:paraId="6BC19D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00" w:type="dxa"/>
            <w:bottom w:w="15" w:type="dxa"/>
            <w:right w:w="100" w:type="dxa"/>
          </w:tblCellMar>
        </w:tblPrEx>
        <w:tc>
          <w:tcPr>
            <w:tcW w:w="1135" w:type="pct"/>
            <w:shd w:val="clear" w:color="auto" w:fill="FFFFFF"/>
            <w:tcMar>
              <w:top w:w="120" w:type="dxa"/>
              <w:left w:w="180" w:type="dxa"/>
              <w:bottom w:w="120" w:type="dxa"/>
              <w:right w:w="180" w:type="dxa"/>
            </w:tcMar>
            <w:vAlign w:val="center"/>
          </w:tcPr>
          <w:p w14:paraId="52570FF6">
            <w:pPr>
              <w:pStyle w:val="56"/>
              <w:ind w:firstLine="0" w:firstLineChars="0"/>
              <w:jc w:val="center"/>
              <w:rPr>
                <w:rFonts w:ascii="宋体" w:hAnsi="宋体"/>
                <w:sz w:val="18"/>
                <w:szCs w:val="18"/>
              </w:rPr>
            </w:pPr>
            <w:r>
              <w:rPr>
                <w:rFonts w:ascii="宋体" w:hAnsi="宋体"/>
                <w:sz w:val="18"/>
                <w:szCs w:val="18"/>
              </w:rPr>
              <w:t>≤0</w:t>
            </w:r>
          </w:p>
        </w:tc>
        <w:tc>
          <w:tcPr>
            <w:tcW w:w="3865" w:type="pct"/>
            <w:shd w:val="clear" w:color="auto" w:fill="FFFFFF"/>
            <w:tcMar>
              <w:top w:w="120" w:type="dxa"/>
              <w:left w:w="180" w:type="dxa"/>
              <w:bottom w:w="120" w:type="dxa"/>
              <w:right w:w="180" w:type="dxa"/>
            </w:tcMar>
            <w:vAlign w:val="center"/>
          </w:tcPr>
          <w:p w14:paraId="663AF35A">
            <w:pPr>
              <w:pStyle w:val="56"/>
              <w:ind w:firstLine="0" w:firstLineChars="0"/>
              <w:jc w:val="center"/>
              <w:rPr>
                <w:rFonts w:ascii="宋体" w:hAnsi="宋体"/>
                <w:sz w:val="18"/>
                <w:szCs w:val="18"/>
              </w:rPr>
            </w:pPr>
            <w:r>
              <w:rPr>
                <w:rFonts w:ascii="宋体" w:hAnsi="宋体"/>
                <w:sz w:val="18"/>
                <w:szCs w:val="18"/>
              </w:rPr>
              <w:t>暂不提示与感染相关，建议排除污染因素后复查</w:t>
            </w:r>
          </w:p>
        </w:tc>
      </w:tr>
    </w:tbl>
    <w:p w14:paraId="13D2AD0F">
      <w:pPr>
        <w:pStyle w:val="56"/>
        <w:ind w:firstLine="420"/>
      </w:pPr>
    </w:p>
    <w:p w14:paraId="552DEE09">
      <w:pPr>
        <w:pStyle w:val="56"/>
        <w:ind w:firstLine="420"/>
      </w:pPr>
    </w:p>
    <w:p w14:paraId="6875058A">
      <w:pPr>
        <w:pStyle w:val="56"/>
        <w:ind w:firstLine="420"/>
      </w:pPr>
    </w:p>
    <w:p w14:paraId="4206A24D">
      <w:pPr>
        <w:pStyle w:val="56"/>
        <w:ind w:firstLine="420"/>
        <w:sectPr>
          <w:pgSz w:w="11906" w:h="16838"/>
          <w:pgMar w:top="1928" w:right="1134" w:bottom="1134" w:left="1134" w:header="1418" w:footer="1134" w:gutter="284"/>
          <w:cols w:space="425" w:num="1"/>
          <w:formProt w:val="0"/>
          <w:docGrid w:linePitch="312" w:charSpace="0"/>
        </w:sectPr>
      </w:pPr>
    </w:p>
    <w:p w14:paraId="5C87A78B">
      <w:pPr>
        <w:pStyle w:val="198"/>
        <w:rPr>
          <w:vanish w:val="0"/>
        </w:rPr>
      </w:pPr>
    </w:p>
    <w:p w14:paraId="4E120617">
      <w:pPr>
        <w:pStyle w:val="199"/>
        <w:rPr>
          <w:vanish w:val="0"/>
        </w:rPr>
      </w:pPr>
    </w:p>
    <w:p w14:paraId="0AC9B1B2">
      <w:pPr>
        <w:pStyle w:val="76"/>
        <w:spacing w:after="120"/>
        <w:rPr>
          <w:rFonts w:hint="eastAsia"/>
        </w:rPr>
      </w:pPr>
      <w:r>
        <w:br w:type="textWrapping"/>
      </w:r>
      <w:r>
        <w:rPr>
          <w:rFonts w:hint="eastAsia"/>
        </w:rPr>
        <w:t>（资料性）</w:t>
      </w:r>
      <w:r>
        <w:br w:type="textWrapping"/>
      </w:r>
      <w:r>
        <w:rPr>
          <w:rFonts w:hint="eastAsia"/>
        </w:rPr>
        <w:t>数据分析性能要求系列表</w:t>
      </w:r>
    </w:p>
    <w:p w14:paraId="74A0E3F5">
      <w:pPr>
        <w:pStyle w:val="56"/>
        <w:ind w:firstLine="420"/>
        <w:rPr>
          <w:rStyle w:val="29"/>
          <w:rFonts w:hint="eastAsia" w:ascii="宋体" w:hAnsi="宋体" w:cs="黑体"/>
          <w:b w:val="0"/>
          <w:szCs w:val="21"/>
        </w:rPr>
      </w:pPr>
      <w:r>
        <w:rPr>
          <w:rStyle w:val="29"/>
          <w:rFonts w:hint="eastAsia" w:ascii="宋体" w:hAnsi="宋体" w:cs="黑体"/>
          <w:b w:val="0"/>
          <w:szCs w:val="21"/>
        </w:rPr>
        <w:t>数据分析性能要求见表E.1。</w:t>
      </w:r>
      <w:bookmarkStart w:id="57" w:name="OLE_LINK7"/>
    </w:p>
    <w:bookmarkEnd w:id="57"/>
    <w:p w14:paraId="3730DDFC">
      <w:pPr>
        <w:pStyle w:val="77"/>
        <w:spacing w:before="120" w:after="120"/>
        <w:rPr>
          <w:rFonts w:ascii="宋体" w:hAnsi="宋体"/>
        </w:rPr>
      </w:pPr>
      <w:r>
        <w:rPr>
          <w:rStyle w:val="29"/>
          <w:rFonts w:hint="eastAsia" w:hAnsi="黑体" w:cs="黑体"/>
          <w:b w:val="0"/>
          <w:szCs w:val="21"/>
        </w:rPr>
        <w:t>数据分析性能要求系列表</w:t>
      </w:r>
    </w:p>
    <w:tbl>
      <w:tblPr>
        <w:tblStyle w:val="26"/>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313"/>
        <w:gridCol w:w="1986"/>
        <w:gridCol w:w="6415"/>
      </w:tblGrid>
      <w:tr w14:paraId="160BC4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531" w:hRule="atLeast"/>
          <w:tblHeader/>
          <w:jc w:val="center"/>
        </w:trPr>
        <w:tc>
          <w:tcPr>
            <w:tcW w:w="676" w:type="pct"/>
            <w:shd w:val="clear" w:color="auto" w:fill="FFFFFF"/>
            <w:tcMar>
              <w:top w:w="120" w:type="dxa"/>
              <w:left w:w="180" w:type="dxa"/>
              <w:bottom w:w="120" w:type="dxa"/>
              <w:right w:w="180" w:type="dxa"/>
            </w:tcMar>
            <w:vAlign w:val="center"/>
          </w:tcPr>
          <w:p w14:paraId="27E53851">
            <w:pPr>
              <w:pStyle w:val="56"/>
              <w:ind w:firstLine="0" w:firstLineChars="0"/>
              <w:jc w:val="center"/>
              <w:rPr>
                <w:rFonts w:ascii="宋体" w:hAnsi="宋体"/>
                <w:sz w:val="18"/>
                <w:szCs w:val="18"/>
              </w:rPr>
            </w:pPr>
            <w:r>
              <w:rPr>
                <w:rFonts w:hint="eastAsia" w:ascii="宋体" w:hAnsi="宋体"/>
                <w:sz w:val="18"/>
                <w:szCs w:val="18"/>
              </w:rPr>
              <w:t>模块</w:t>
            </w:r>
          </w:p>
        </w:tc>
        <w:tc>
          <w:tcPr>
            <w:tcW w:w="1022" w:type="pct"/>
            <w:shd w:val="clear" w:color="auto" w:fill="FFFFFF"/>
            <w:tcMar>
              <w:top w:w="120" w:type="dxa"/>
              <w:left w:w="180" w:type="dxa"/>
              <w:bottom w:w="120" w:type="dxa"/>
              <w:right w:w="180" w:type="dxa"/>
            </w:tcMar>
            <w:vAlign w:val="center"/>
          </w:tcPr>
          <w:p w14:paraId="540B3D67">
            <w:pPr>
              <w:pStyle w:val="56"/>
              <w:ind w:firstLine="0" w:firstLineChars="0"/>
              <w:jc w:val="center"/>
              <w:rPr>
                <w:rFonts w:ascii="宋体" w:hAnsi="宋体"/>
                <w:sz w:val="18"/>
                <w:szCs w:val="18"/>
              </w:rPr>
            </w:pPr>
            <w:r>
              <w:rPr>
                <w:rFonts w:hint="eastAsia" w:ascii="宋体" w:hAnsi="宋体"/>
                <w:sz w:val="18"/>
                <w:szCs w:val="18"/>
              </w:rPr>
              <w:t>指标</w:t>
            </w:r>
          </w:p>
        </w:tc>
        <w:tc>
          <w:tcPr>
            <w:tcW w:w="3302" w:type="pct"/>
            <w:shd w:val="clear" w:color="auto" w:fill="FFFFFF"/>
            <w:tcMar>
              <w:top w:w="120" w:type="dxa"/>
              <w:left w:w="180" w:type="dxa"/>
              <w:bottom w:w="120" w:type="dxa"/>
              <w:right w:w="180" w:type="dxa"/>
            </w:tcMar>
            <w:vAlign w:val="center"/>
          </w:tcPr>
          <w:p w14:paraId="71344020">
            <w:pPr>
              <w:pStyle w:val="56"/>
              <w:ind w:firstLine="0" w:firstLineChars="0"/>
              <w:jc w:val="center"/>
              <w:rPr>
                <w:rFonts w:ascii="宋体" w:hAnsi="宋体"/>
                <w:sz w:val="18"/>
                <w:szCs w:val="18"/>
              </w:rPr>
            </w:pPr>
            <w:r>
              <w:rPr>
                <w:rFonts w:hint="eastAsia" w:ascii="宋体" w:hAnsi="宋体"/>
                <w:sz w:val="18"/>
                <w:szCs w:val="18"/>
              </w:rPr>
              <w:t>标准要求</w:t>
            </w:r>
          </w:p>
        </w:tc>
      </w:tr>
      <w:tr w14:paraId="6DE628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35C6FBCF">
            <w:pPr>
              <w:pStyle w:val="56"/>
              <w:ind w:firstLine="0" w:firstLineChars="0"/>
              <w:jc w:val="center"/>
              <w:rPr>
                <w:rFonts w:ascii="宋体" w:hAnsi="宋体" w:cs="Segoe UI"/>
                <w:sz w:val="18"/>
                <w:szCs w:val="18"/>
              </w:rPr>
            </w:pPr>
            <w:r>
              <w:rPr>
                <w:rFonts w:ascii="宋体" w:hAnsi="宋体" w:cs="Segoe UI"/>
                <w:sz w:val="18"/>
                <w:szCs w:val="18"/>
              </w:rPr>
              <w:t>质量控制</w:t>
            </w:r>
          </w:p>
        </w:tc>
        <w:tc>
          <w:tcPr>
            <w:tcW w:w="1022" w:type="pct"/>
            <w:shd w:val="clear" w:color="auto" w:fill="FFFFFF"/>
            <w:tcMar>
              <w:top w:w="120" w:type="dxa"/>
              <w:left w:w="180" w:type="dxa"/>
              <w:bottom w:w="120" w:type="dxa"/>
              <w:right w:w="180" w:type="dxa"/>
            </w:tcMar>
            <w:vAlign w:val="center"/>
          </w:tcPr>
          <w:p w14:paraId="26A7F109">
            <w:pPr>
              <w:pStyle w:val="56"/>
              <w:ind w:firstLine="0" w:firstLineChars="0"/>
              <w:jc w:val="center"/>
              <w:rPr>
                <w:rFonts w:ascii="宋体" w:hAnsi="宋体" w:cs="Segoe UI"/>
                <w:sz w:val="18"/>
                <w:szCs w:val="18"/>
              </w:rPr>
            </w:pPr>
            <w:r>
              <w:rPr>
                <w:rFonts w:ascii="宋体" w:hAnsi="宋体" w:cs="Segoe UI"/>
                <w:sz w:val="18"/>
                <w:szCs w:val="18"/>
              </w:rPr>
              <w:t>低质量 reads 过滤</w:t>
            </w:r>
          </w:p>
        </w:tc>
        <w:tc>
          <w:tcPr>
            <w:tcW w:w="3302" w:type="pct"/>
            <w:shd w:val="clear" w:color="auto" w:fill="FFFFFF"/>
            <w:tcMar>
              <w:top w:w="120" w:type="dxa"/>
              <w:left w:w="180" w:type="dxa"/>
              <w:bottom w:w="120" w:type="dxa"/>
              <w:right w:w="180" w:type="dxa"/>
            </w:tcMar>
            <w:vAlign w:val="center"/>
          </w:tcPr>
          <w:p w14:paraId="01B58D55">
            <w:pPr>
              <w:pStyle w:val="56"/>
              <w:ind w:firstLine="0" w:firstLineChars="0"/>
              <w:rPr>
                <w:rFonts w:ascii="宋体" w:hAnsi="宋体" w:cs="Segoe UI"/>
                <w:sz w:val="18"/>
                <w:szCs w:val="18"/>
              </w:rPr>
            </w:pPr>
            <w:r>
              <w:rPr>
                <w:rFonts w:hint="eastAsia" w:ascii="宋体" w:hAnsi="宋体" w:cs="Segoe UI"/>
                <w:sz w:val="18"/>
                <w:szCs w:val="18"/>
              </w:rPr>
              <w:t>采用 fastp 进行质控；序列中超过40% 的碱基质量＜20、N 碱基数量＞10 或长度＜30 的reads应排除；质控后序列长度＜原始长度80%的reads应排除。</w:t>
            </w:r>
          </w:p>
        </w:tc>
      </w:tr>
      <w:tr w14:paraId="365EB2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68267D23">
            <w:pPr>
              <w:pStyle w:val="56"/>
              <w:ind w:firstLine="0" w:firstLineChars="0"/>
              <w:jc w:val="center"/>
              <w:rPr>
                <w:rFonts w:ascii="宋体" w:hAnsi="宋体" w:cs="Segoe UI"/>
                <w:sz w:val="18"/>
                <w:szCs w:val="18"/>
              </w:rPr>
            </w:pPr>
            <w:r>
              <w:rPr>
                <w:rFonts w:ascii="宋体" w:hAnsi="宋体" w:cs="Segoe UI"/>
                <w:sz w:val="18"/>
                <w:szCs w:val="18"/>
              </w:rPr>
              <w:t>宿主去除</w:t>
            </w:r>
          </w:p>
        </w:tc>
        <w:tc>
          <w:tcPr>
            <w:tcW w:w="1022" w:type="pct"/>
            <w:shd w:val="clear" w:color="auto" w:fill="FFFFFF"/>
            <w:tcMar>
              <w:top w:w="120" w:type="dxa"/>
              <w:left w:w="180" w:type="dxa"/>
              <w:bottom w:w="120" w:type="dxa"/>
              <w:right w:w="180" w:type="dxa"/>
            </w:tcMar>
            <w:vAlign w:val="center"/>
          </w:tcPr>
          <w:p w14:paraId="01BBDC34">
            <w:pPr>
              <w:pStyle w:val="56"/>
              <w:ind w:firstLine="0" w:firstLineChars="0"/>
              <w:jc w:val="center"/>
              <w:rPr>
                <w:rFonts w:ascii="宋体" w:hAnsi="宋体" w:cs="Segoe UI"/>
                <w:sz w:val="18"/>
                <w:szCs w:val="18"/>
              </w:rPr>
            </w:pPr>
            <w:r>
              <w:rPr>
                <w:rFonts w:ascii="宋体" w:hAnsi="宋体" w:cs="Segoe UI"/>
                <w:sz w:val="18"/>
                <w:szCs w:val="18"/>
              </w:rPr>
              <w:t>宿主核酸去除率</w:t>
            </w:r>
          </w:p>
        </w:tc>
        <w:tc>
          <w:tcPr>
            <w:tcW w:w="3302" w:type="pct"/>
            <w:shd w:val="clear" w:color="auto" w:fill="FFFFFF"/>
            <w:tcMar>
              <w:top w:w="120" w:type="dxa"/>
              <w:left w:w="180" w:type="dxa"/>
              <w:bottom w:w="120" w:type="dxa"/>
              <w:right w:w="180" w:type="dxa"/>
            </w:tcMar>
            <w:vAlign w:val="center"/>
          </w:tcPr>
          <w:p w14:paraId="382AC015">
            <w:pPr>
              <w:pStyle w:val="56"/>
              <w:ind w:firstLine="0" w:firstLineChars="0"/>
              <w:rPr>
                <w:rFonts w:ascii="宋体" w:hAnsi="宋体" w:cs="Segoe UI"/>
                <w:sz w:val="18"/>
                <w:szCs w:val="18"/>
              </w:rPr>
            </w:pPr>
            <w:r>
              <w:rPr>
                <w:rFonts w:hint="eastAsia" w:ascii="宋体" w:hAnsi="宋体" w:cs="Segoe UI"/>
                <w:sz w:val="18"/>
                <w:szCs w:val="18"/>
              </w:rPr>
              <w:t>采用 Bowtie2 或 BBDuk 与宿主参考基因组对齐；宿主核酸去除率≥95%；筛选未比对上的 reads 用于后续分析。</w:t>
            </w:r>
          </w:p>
        </w:tc>
      </w:tr>
      <w:tr w14:paraId="5ACFF8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34917FAA">
            <w:pPr>
              <w:pStyle w:val="56"/>
              <w:ind w:firstLine="0" w:firstLineChars="0"/>
              <w:jc w:val="center"/>
              <w:rPr>
                <w:rFonts w:ascii="宋体" w:hAnsi="宋体" w:cs="Segoe UI"/>
                <w:sz w:val="18"/>
                <w:szCs w:val="18"/>
              </w:rPr>
            </w:pPr>
            <w:r>
              <w:rPr>
                <w:rFonts w:ascii="宋体" w:hAnsi="宋体" w:cs="Segoe UI"/>
                <w:sz w:val="18"/>
                <w:szCs w:val="18"/>
              </w:rPr>
              <w:t>初步分类</w:t>
            </w:r>
          </w:p>
        </w:tc>
        <w:tc>
          <w:tcPr>
            <w:tcW w:w="1022" w:type="pct"/>
            <w:shd w:val="clear" w:color="auto" w:fill="FFFFFF"/>
            <w:tcMar>
              <w:top w:w="120" w:type="dxa"/>
              <w:left w:w="180" w:type="dxa"/>
              <w:bottom w:w="120" w:type="dxa"/>
              <w:right w:w="180" w:type="dxa"/>
            </w:tcMar>
            <w:vAlign w:val="center"/>
          </w:tcPr>
          <w:p w14:paraId="049A2243">
            <w:pPr>
              <w:pStyle w:val="56"/>
              <w:ind w:firstLine="0" w:firstLineChars="0"/>
              <w:jc w:val="center"/>
              <w:rPr>
                <w:rFonts w:ascii="宋体" w:hAnsi="宋体" w:cs="Segoe UI"/>
                <w:sz w:val="18"/>
                <w:szCs w:val="18"/>
              </w:rPr>
            </w:pPr>
            <w:r>
              <w:rPr>
                <w:rFonts w:hint="eastAsia" w:ascii="宋体" w:hAnsi="宋体" w:cs="Segoe UI"/>
                <w:sz w:val="18"/>
                <w:szCs w:val="18"/>
              </w:rPr>
              <w:t>Kraken2 参数与筛选标准</w:t>
            </w:r>
          </w:p>
        </w:tc>
        <w:tc>
          <w:tcPr>
            <w:tcW w:w="3302" w:type="pct"/>
            <w:shd w:val="clear" w:color="auto" w:fill="FFFFFF"/>
            <w:tcMar>
              <w:top w:w="120" w:type="dxa"/>
              <w:left w:w="180" w:type="dxa"/>
              <w:bottom w:w="120" w:type="dxa"/>
              <w:right w:w="180" w:type="dxa"/>
            </w:tcMar>
            <w:vAlign w:val="center"/>
          </w:tcPr>
          <w:p w14:paraId="5E5BAD07">
            <w:pPr>
              <w:pStyle w:val="56"/>
              <w:ind w:firstLine="0" w:firstLineChars="0"/>
              <w:rPr>
                <w:rFonts w:ascii="宋体" w:hAnsi="宋体" w:cs="Segoe UI"/>
                <w:sz w:val="18"/>
                <w:szCs w:val="18"/>
              </w:rPr>
            </w:pPr>
            <w:r>
              <w:rPr>
                <w:rFonts w:hint="eastAsia" w:ascii="宋体" w:hAnsi="宋体" w:cs="Segoe UI"/>
                <w:sz w:val="18"/>
                <w:szCs w:val="18"/>
              </w:rPr>
              <w:t>采用Kraken2/Kraken2Uniq，参数设置为--report-minimizer-data、minimum-hit-groups=3；保留 reads 数＞10 且（unique k-mer＞800 或 unique k-mer/reads 数＞10）的物种。</w:t>
            </w:r>
          </w:p>
        </w:tc>
      </w:tr>
      <w:tr w14:paraId="781E30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6DF30159">
            <w:pPr>
              <w:pStyle w:val="56"/>
              <w:ind w:firstLine="0" w:firstLineChars="0"/>
              <w:jc w:val="center"/>
              <w:rPr>
                <w:rFonts w:ascii="宋体" w:hAnsi="宋体" w:cs="Segoe UI"/>
                <w:sz w:val="18"/>
                <w:szCs w:val="18"/>
              </w:rPr>
            </w:pPr>
            <w:r>
              <w:rPr>
                <w:rFonts w:ascii="宋体" w:hAnsi="宋体" w:cs="Segoe UI"/>
                <w:sz w:val="18"/>
                <w:szCs w:val="18"/>
              </w:rPr>
              <w:t>精细比对</w:t>
            </w:r>
          </w:p>
        </w:tc>
        <w:tc>
          <w:tcPr>
            <w:tcW w:w="1022" w:type="pct"/>
            <w:shd w:val="clear" w:color="auto" w:fill="FFFFFF"/>
            <w:tcMar>
              <w:top w:w="120" w:type="dxa"/>
              <w:left w:w="180" w:type="dxa"/>
              <w:bottom w:w="120" w:type="dxa"/>
              <w:right w:w="180" w:type="dxa"/>
            </w:tcMar>
            <w:vAlign w:val="center"/>
          </w:tcPr>
          <w:p w14:paraId="03D1AE48">
            <w:pPr>
              <w:pStyle w:val="56"/>
              <w:ind w:firstLine="0" w:firstLineChars="0"/>
              <w:jc w:val="center"/>
              <w:rPr>
                <w:rFonts w:ascii="宋体" w:hAnsi="宋体" w:cs="Segoe UI"/>
                <w:sz w:val="18"/>
                <w:szCs w:val="18"/>
              </w:rPr>
            </w:pPr>
            <w:r>
              <w:rPr>
                <w:rFonts w:hint="eastAsia" w:ascii="宋体" w:hAnsi="宋体" w:cs="Segoe UI"/>
                <w:sz w:val="18"/>
                <w:szCs w:val="18"/>
              </w:rPr>
              <w:t>Bowtie2 过滤与质控</w:t>
            </w:r>
          </w:p>
        </w:tc>
        <w:tc>
          <w:tcPr>
            <w:tcW w:w="3302" w:type="pct"/>
            <w:shd w:val="clear" w:color="auto" w:fill="FFFFFF"/>
            <w:tcMar>
              <w:top w:w="120" w:type="dxa"/>
              <w:left w:w="180" w:type="dxa"/>
              <w:bottom w:w="120" w:type="dxa"/>
              <w:right w:w="180" w:type="dxa"/>
            </w:tcMar>
            <w:vAlign w:val="center"/>
          </w:tcPr>
          <w:p w14:paraId="70C09098">
            <w:pPr>
              <w:pStyle w:val="56"/>
              <w:ind w:firstLine="0" w:firstLineChars="0"/>
              <w:rPr>
                <w:rFonts w:ascii="宋体" w:hAnsi="宋体" w:cs="Segoe UI"/>
                <w:sz w:val="18"/>
                <w:szCs w:val="18"/>
              </w:rPr>
            </w:pPr>
            <w:r>
              <w:rPr>
                <w:rFonts w:hint="eastAsia" w:ascii="宋体" w:hAnsi="宋体" w:cs="Segoe UI"/>
                <w:sz w:val="18"/>
                <w:szCs w:val="18"/>
              </w:rPr>
              <w:t>采用Bowtie2、Komplexity、SAMtools；排除MAPQ＜30的reads；剔除 Komplexity 得分＜0.5 的低复杂度序列；去除重复序列；计算 unique reads 数、基因组覆盖度等信息。</w:t>
            </w:r>
          </w:p>
        </w:tc>
      </w:tr>
      <w:tr w14:paraId="47AE7B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3CC8CAF8">
            <w:pPr>
              <w:pStyle w:val="56"/>
              <w:ind w:firstLine="0" w:firstLineChars="0"/>
              <w:jc w:val="center"/>
              <w:rPr>
                <w:rFonts w:ascii="宋体" w:hAnsi="宋体" w:cs="Segoe UI"/>
                <w:sz w:val="18"/>
                <w:szCs w:val="18"/>
              </w:rPr>
            </w:pPr>
            <w:r>
              <w:rPr>
                <w:rFonts w:ascii="宋体" w:hAnsi="宋体" w:cs="Segoe UI"/>
                <w:sz w:val="18"/>
                <w:szCs w:val="18"/>
              </w:rPr>
              <w:t>相似性验证</w:t>
            </w:r>
          </w:p>
        </w:tc>
        <w:tc>
          <w:tcPr>
            <w:tcW w:w="1022" w:type="pct"/>
            <w:shd w:val="clear" w:color="auto" w:fill="FFFFFF"/>
            <w:tcMar>
              <w:top w:w="120" w:type="dxa"/>
              <w:left w:w="180" w:type="dxa"/>
              <w:bottom w:w="120" w:type="dxa"/>
              <w:right w:w="180" w:type="dxa"/>
            </w:tcMar>
            <w:vAlign w:val="center"/>
          </w:tcPr>
          <w:p w14:paraId="3CFDD717">
            <w:pPr>
              <w:pStyle w:val="56"/>
              <w:ind w:firstLine="0" w:firstLineChars="0"/>
              <w:jc w:val="center"/>
              <w:rPr>
                <w:rFonts w:ascii="宋体" w:hAnsi="宋体" w:cs="Segoe UI"/>
                <w:sz w:val="18"/>
                <w:szCs w:val="18"/>
              </w:rPr>
            </w:pPr>
            <w:r>
              <w:rPr>
                <w:rFonts w:hint="eastAsia" w:ascii="宋体" w:hAnsi="宋体" w:cs="Segoe UI"/>
                <w:sz w:val="18"/>
                <w:szCs w:val="18"/>
              </w:rPr>
              <w:t>BLAST 参数与筛选</w:t>
            </w:r>
          </w:p>
        </w:tc>
        <w:tc>
          <w:tcPr>
            <w:tcW w:w="3302" w:type="pct"/>
            <w:shd w:val="clear" w:color="auto" w:fill="FFFFFF"/>
            <w:tcMar>
              <w:top w:w="120" w:type="dxa"/>
              <w:left w:w="180" w:type="dxa"/>
              <w:bottom w:w="120" w:type="dxa"/>
              <w:right w:w="180" w:type="dxa"/>
            </w:tcMar>
            <w:vAlign w:val="center"/>
          </w:tcPr>
          <w:p w14:paraId="403AA815">
            <w:pPr>
              <w:pStyle w:val="56"/>
              <w:ind w:firstLine="0" w:firstLineChars="0"/>
              <w:rPr>
                <w:rFonts w:ascii="宋体" w:hAnsi="宋体" w:cs="Segoe UI"/>
                <w:sz w:val="18"/>
                <w:szCs w:val="18"/>
              </w:rPr>
            </w:pPr>
            <w:r>
              <w:rPr>
                <w:rFonts w:hint="eastAsia" w:ascii="宋体" w:hAnsi="宋体" w:cs="Segoe UI"/>
                <w:sz w:val="18"/>
                <w:szCs w:val="18"/>
              </w:rPr>
              <w:t>采用 BLAST，参数设置为evalue=1e-5、max_target_seqs=1；双端测序需双端 reads 同时比对到病原体同一条序列；保留比对质量最高的序列，以其 reads 数作为最终unique reads数</w:t>
            </w:r>
          </w:p>
        </w:tc>
      </w:tr>
      <w:tr w14:paraId="6A28CF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vMerge w:val="restart"/>
            <w:shd w:val="clear" w:color="auto" w:fill="FFFFFF"/>
            <w:tcMar>
              <w:top w:w="120" w:type="dxa"/>
              <w:left w:w="180" w:type="dxa"/>
              <w:bottom w:w="120" w:type="dxa"/>
              <w:right w:w="180" w:type="dxa"/>
            </w:tcMar>
            <w:vAlign w:val="center"/>
          </w:tcPr>
          <w:p w14:paraId="489F842A">
            <w:pPr>
              <w:pStyle w:val="56"/>
              <w:ind w:firstLine="0" w:firstLineChars="0"/>
              <w:jc w:val="center"/>
              <w:rPr>
                <w:rFonts w:ascii="宋体" w:hAnsi="宋体" w:cs="Segoe UI"/>
                <w:sz w:val="18"/>
                <w:szCs w:val="18"/>
              </w:rPr>
            </w:pPr>
            <w:r>
              <w:rPr>
                <w:rFonts w:ascii="宋体" w:hAnsi="宋体" w:cs="Segoe UI"/>
                <w:sz w:val="18"/>
                <w:szCs w:val="18"/>
              </w:rPr>
              <w:t>病原体鉴定</w:t>
            </w:r>
          </w:p>
        </w:tc>
        <w:tc>
          <w:tcPr>
            <w:tcW w:w="1022" w:type="pct"/>
            <w:shd w:val="clear" w:color="auto" w:fill="FFFFFF"/>
            <w:tcMar>
              <w:top w:w="120" w:type="dxa"/>
              <w:left w:w="180" w:type="dxa"/>
              <w:bottom w:w="120" w:type="dxa"/>
              <w:right w:w="180" w:type="dxa"/>
            </w:tcMar>
            <w:vAlign w:val="center"/>
          </w:tcPr>
          <w:p w14:paraId="49BB7A04">
            <w:pPr>
              <w:pStyle w:val="56"/>
              <w:ind w:firstLine="0" w:firstLineChars="0"/>
              <w:jc w:val="center"/>
              <w:rPr>
                <w:rFonts w:ascii="宋体" w:hAnsi="宋体" w:cs="Segoe UI"/>
                <w:sz w:val="18"/>
                <w:szCs w:val="18"/>
              </w:rPr>
            </w:pPr>
            <w:r>
              <w:rPr>
                <w:rFonts w:ascii="宋体" w:hAnsi="宋体" w:cs="Segoe UI"/>
                <w:sz w:val="18"/>
                <w:szCs w:val="18"/>
              </w:rPr>
              <w:t>病毒 LOD</w:t>
            </w:r>
          </w:p>
        </w:tc>
        <w:tc>
          <w:tcPr>
            <w:tcW w:w="3302" w:type="pct"/>
            <w:shd w:val="clear" w:color="auto" w:fill="FFFFFF"/>
            <w:tcMar>
              <w:top w:w="120" w:type="dxa"/>
              <w:left w:w="180" w:type="dxa"/>
              <w:bottom w:w="120" w:type="dxa"/>
              <w:right w:w="180" w:type="dxa"/>
            </w:tcMar>
            <w:vAlign w:val="center"/>
          </w:tcPr>
          <w:p w14:paraId="630BFDBB">
            <w:pPr>
              <w:pStyle w:val="56"/>
              <w:ind w:firstLine="0" w:firstLineChars="0"/>
              <w:rPr>
                <w:rFonts w:ascii="宋体" w:hAnsi="宋体" w:cs="Segoe UI"/>
                <w:sz w:val="18"/>
                <w:szCs w:val="18"/>
              </w:rPr>
            </w:pPr>
            <w:r>
              <w:rPr>
                <w:rFonts w:hint="eastAsia" w:ascii="宋体" w:hAnsi="宋体" w:cs="Segoe UI"/>
                <w:sz w:val="18"/>
                <w:szCs w:val="18"/>
              </w:rPr>
              <w:t>结合临床检测的实际应用，划定LOD≤10</w:t>
            </w:r>
            <w:r>
              <w:rPr>
                <w:rFonts w:hint="eastAsia" w:ascii="宋体" w:hAnsi="宋体" w:cs="Segoe UI"/>
                <w:sz w:val="18"/>
                <w:szCs w:val="18"/>
                <w:vertAlign w:val="superscript"/>
              </w:rPr>
              <w:t xml:space="preserve"> </w:t>
            </w:r>
            <w:r>
              <w:rPr>
                <w:rFonts w:hint="eastAsia" w:ascii="宋体" w:hAnsi="宋体" w:cs="Segoe UI"/>
                <w:sz w:val="18"/>
                <w:szCs w:val="18"/>
              </w:rPr>
              <w:t>copies/mL。</w:t>
            </w:r>
          </w:p>
        </w:tc>
      </w:tr>
      <w:tr w14:paraId="58488C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vMerge w:val="continue"/>
            <w:shd w:val="clear" w:color="auto" w:fill="FFFFFF"/>
            <w:tcMar>
              <w:top w:w="120" w:type="dxa"/>
              <w:left w:w="180" w:type="dxa"/>
              <w:bottom w:w="120" w:type="dxa"/>
              <w:right w:w="180" w:type="dxa"/>
            </w:tcMar>
            <w:vAlign w:val="center"/>
          </w:tcPr>
          <w:p w14:paraId="584EACC7">
            <w:pPr>
              <w:pStyle w:val="56"/>
              <w:ind w:firstLine="360"/>
              <w:jc w:val="center"/>
              <w:rPr>
                <w:rFonts w:ascii="宋体" w:hAnsi="宋体" w:cs="Segoe UI"/>
                <w:sz w:val="18"/>
                <w:szCs w:val="18"/>
              </w:rPr>
            </w:pPr>
          </w:p>
        </w:tc>
        <w:tc>
          <w:tcPr>
            <w:tcW w:w="1022" w:type="pct"/>
            <w:shd w:val="clear" w:color="auto" w:fill="FFFFFF"/>
            <w:tcMar>
              <w:top w:w="120" w:type="dxa"/>
              <w:left w:w="180" w:type="dxa"/>
              <w:bottom w:w="120" w:type="dxa"/>
              <w:right w:w="180" w:type="dxa"/>
            </w:tcMar>
            <w:vAlign w:val="center"/>
          </w:tcPr>
          <w:p w14:paraId="59ED0D99">
            <w:pPr>
              <w:pStyle w:val="56"/>
              <w:ind w:firstLine="0" w:firstLineChars="0"/>
              <w:jc w:val="center"/>
              <w:rPr>
                <w:rFonts w:ascii="宋体" w:hAnsi="宋体" w:cs="Segoe UI"/>
                <w:sz w:val="18"/>
                <w:szCs w:val="18"/>
              </w:rPr>
            </w:pPr>
            <w:r>
              <w:rPr>
                <w:rFonts w:ascii="宋体" w:hAnsi="宋体" w:cs="Segoe UI"/>
                <w:sz w:val="18"/>
                <w:szCs w:val="18"/>
              </w:rPr>
              <w:t>细菌 LOD</w:t>
            </w:r>
          </w:p>
        </w:tc>
        <w:tc>
          <w:tcPr>
            <w:tcW w:w="3302" w:type="pct"/>
            <w:shd w:val="clear" w:color="auto" w:fill="FFFFFF"/>
            <w:tcMar>
              <w:top w:w="120" w:type="dxa"/>
              <w:left w:w="180" w:type="dxa"/>
              <w:bottom w:w="120" w:type="dxa"/>
              <w:right w:w="180" w:type="dxa"/>
            </w:tcMar>
            <w:vAlign w:val="center"/>
          </w:tcPr>
          <w:p w14:paraId="422BA91A">
            <w:pPr>
              <w:pStyle w:val="56"/>
              <w:ind w:firstLine="0" w:firstLineChars="0"/>
              <w:rPr>
                <w:rFonts w:ascii="宋体" w:hAnsi="宋体" w:cs="Segoe UI"/>
                <w:sz w:val="18"/>
                <w:szCs w:val="18"/>
              </w:rPr>
            </w:pPr>
            <w:r>
              <w:rPr>
                <w:rFonts w:hint="eastAsia" w:ascii="宋体" w:hAnsi="宋体" w:cs="Segoe UI"/>
                <w:sz w:val="18"/>
                <w:szCs w:val="18"/>
              </w:rPr>
              <w:t>LOD≤100基因拷贝数/mL（或 50</w:t>
            </w:r>
            <w:r>
              <w:rPr>
                <w:rFonts w:hint="eastAsia" w:ascii="宋体" w:hAnsi="宋体" w:cs="Segoe UI"/>
                <w:sz w:val="18"/>
                <w:szCs w:val="18"/>
                <w:vertAlign w:val="superscript"/>
              </w:rPr>
              <w:t xml:space="preserve"> </w:t>
            </w:r>
            <w:r>
              <w:rPr>
                <w:rFonts w:hint="eastAsia" w:ascii="宋体" w:hAnsi="宋体" w:cs="Segoe UI"/>
                <w:sz w:val="18"/>
                <w:szCs w:val="18"/>
              </w:rPr>
              <w:t>CFU/mL）。</w:t>
            </w:r>
          </w:p>
        </w:tc>
      </w:tr>
      <w:tr w14:paraId="099946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vMerge w:val="continue"/>
            <w:shd w:val="clear" w:color="auto" w:fill="FFFFFF"/>
            <w:tcMar>
              <w:top w:w="120" w:type="dxa"/>
              <w:left w:w="180" w:type="dxa"/>
              <w:bottom w:w="120" w:type="dxa"/>
              <w:right w:w="180" w:type="dxa"/>
            </w:tcMar>
            <w:vAlign w:val="center"/>
          </w:tcPr>
          <w:p w14:paraId="0EC63DF1">
            <w:pPr>
              <w:pStyle w:val="56"/>
              <w:ind w:firstLine="360"/>
              <w:jc w:val="center"/>
              <w:rPr>
                <w:rFonts w:ascii="宋体" w:hAnsi="宋体" w:cs="Segoe UI"/>
                <w:sz w:val="18"/>
                <w:szCs w:val="18"/>
              </w:rPr>
            </w:pPr>
          </w:p>
        </w:tc>
        <w:tc>
          <w:tcPr>
            <w:tcW w:w="1022" w:type="pct"/>
            <w:shd w:val="clear" w:color="auto" w:fill="FFFFFF"/>
            <w:tcMar>
              <w:top w:w="120" w:type="dxa"/>
              <w:left w:w="180" w:type="dxa"/>
              <w:bottom w:w="120" w:type="dxa"/>
              <w:right w:w="180" w:type="dxa"/>
            </w:tcMar>
            <w:vAlign w:val="center"/>
          </w:tcPr>
          <w:p w14:paraId="0CA076A0">
            <w:pPr>
              <w:pStyle w:val="56"/>
              <w:ind w:firstLine="0" w:firstLineChars="0"/>
              <w:jc w:val="center"/>
              <w:rPr>
                <w:rFonts w:ascii="宋体" w:hAnsi="宋体" w:cs="Segoe UI"/>
                <w:sz w:val="18"/>
                <w:szCs w:val="18"/>
              </w:rPr>
            </w:pPr>
            <w:r>
              <w:rPr>
                <w:rFonts w:ascii="宋体" w:hAnsi="宋体" w:cs="Segoe UI"/>
                <w:sz w:val="18"/>
                <w:szCs w:val="18"/>
              </w:rPr>
              <w:t>真菌 LOD</w:t>
            </w:r>
          </w:p>
        </w:tc>
        <w:tc>
          <w:tcPr>
            <w:tcW w:w="3302" w:type="pct"/>
            <w:shd w:val="clear" w:color="auto" w:fill="FFFFFF"/>
            <w:tcMar>
              <w:top w:w="120" w:type="dxa"/>
              <w:left w:w="180" w:type="dxa"/>
              <w:bottom w:w="120" w:type="dxa"/>
              <w:right w:w="180" w:type="dxa"/>
            </w:tcMar>
            <w:vAlign w:val="center"/>
          </w:tcPr>
          <w:p w14:paraId="29B66C97">
            <w:pPr>
              <w:pStyle w:val="56"/>
              <w:ind w:firstLine="0" w:firstLineChars="0"/>
              <w:rPr>
                <w:rFonts w:ascii="宋体" w:hAnsi="宋体" w:cs="Segoe UI"/>
                <w:sz w:val="18"/>
                <w:szCs w:val="18"/>
              </w:rPr>
            </w:pPr>
            <w:r>
              <w:rPr>
                <w:rFonts w:hint="eastAsia" w:ascii="宋体" w:hAnsi="宋体" w:cs="Segoe UI"/>
                <w:sz w:val="18"/>
                <w:szCs w:val="18"/>
              </w:rPr>
              <w:t>LOD≤100基因拷贝数/mL（或 50</w:t>
            </w:r>
            <w:r>
              <w:rPr>
                <w:rFonts w:hint="eastAsia" w:ascii="宋体" w:hAnsi="宋体" w:cs="Segoe UI"/>
                <w:sz w:val="18"/>
                <w:szCs w:val="18"/>
                <w:vertAlign w:val="superscript"/>
              </w:rPr>
              <w:t xml:space="preserve"> </w:t>
            </w:r>
            <w:r>
              <w:rPr>
                <w:rFonts w:hint="eastAsia" w:ascii="宋体" w:hAnsi="宋体" w:cs="Segoe UI"/>
                <w:sz w:val="18"/>
                <w:szCs w:val="18"/>
              </w:rPr>
              <w:t>CFU/mL）。</w:t>
            </w:r>
          </w:p>
        </w:tc>
      </w:tr>
      <w:tr w14:paraId="042A26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0314574D">
            <w:pPr>
              <w:pStyle w:val="56"/>
              <w:ind w:firstLine="0" w:firstLineChars="0"/>
              <w:jc w:val="center"/>
              <w:rPr>
                <w:rFonts w:ascii="宋体" w:hAnsi="宋体" w:cs="Segoe UI"/>
                <w:sz w:val="18"/>
                <w:szCs w:val="18"/>
              </w:rPr>
            </w:pPr>
            <w:r>
              <w:rPr>
                <w:rFonts w:ascii="宋体" w:hAnsi="宋体" w:cs="Segoe UI"/>
                <w:sz w:val="18"/>
                <w:szCs w:val="18"/>
              </w:rPr>
              <w:t>病原体</w:t>
            </w:r>
            <w:r>
              <w:rPr>
                <w:rFonts w:hint="eastAsia" w:ascii="宋体" w:hAnsi="宋体" w:cs="Segoe UI"/>
                <w:sz w:val="18"/>
                <w:szCs w:val="18"/>
              </w:rPr>
              <w:t>验证</w:t>
            </w:r>
          </w:p>
        </w:tc>
        <w:tc>
          <w:tcPr>
            <w:tcW w:w="1022" w:type="pct"/>
            <w:shd w:val="clear" w:color="auto" w:fill="FFFFFF"/>
            <w:tcMar>
              <w:top w:w="120" w:type="dxa"/>
              <w:left w:w="180" w:type="dxa"/>
              <w:bottom w:w="120" w:type="dxa"/>
              <w:right w:w="180" w:type="dxa"/>
            </w:tcMar>
            <w:vAlign w:val="center"/>
          </w:tcPr>
          <w:p w14:paraId="66ECE265">
            <w:pPr>
              <w:pStyle w:val="56"/>
              <w:ind w:firstLine="0" w:firstLineChars="0"/>
              <w:jc w:val="center"/>
              <w:rPr>
                <w:rFonts w:ascii="宋体" w:hAnsi="宋体" w:cs="Segoe UI"/>
                <w:sz w:val="18"/>
                <w:szCs w:val="18"/>
              </w:rPr>
            </w:pPr>
            <w:r>
              <w:rPr>
                <w:rFonts w:hint="eastAsia" w:ascii="宋体" w:hAnsi="宋体" w:cs="Segoe UI"/>
                <w:sz w:val="18"/>
                <w:szCs w:val="18"/>
              </w:rPr>
              <w:t>marker基因比对</w:t>
            </w:r>
          </w:p>
        </w:tc>
        <w:tc>
          <w:tcPr>
            <w:tcW w:w="3302" w:type="pct"/>
            <w:shd w:val="clear" w:color="auto" w:fill="FFFFFF"/>
            <w:tcMar>
              <w:top w:w="120" w:type="dxa"/>
              <w:left w:w="180" w:type="dxa"/>
              <w:bottom w:w="120" w:type="dxa"/>
              <w:right w:w="180" w:type="dxa"/>
            </w:tcMar>
            <w:vAlign w:val="center"/>
          </w:tcPr>
          <w:p w14:paraId="32765563">
            <w:pPr>
              <w:pStyle w:val="56"/>
              <w:ind w:firstLine="0" w:firstLineChars="0"/>
              <w:rPr>
                <w:rFonts w:ascii="宋体" w:hAnsi="宋体" w:cs="Segoe UI"/>
                <w:sz w:val="18"/>
                <w:szCs w:val="18"/>
              </w:rPr>
            </w:pPr>
            <w:r>
              <w:rPr>
                <w:rFonts w:hint="eastAsia" w:ascii="宋体" w:hAnsi="宋体" w:cs="Segoe UI"/>
                <w:sz w:val="18"/>
                <w:szCs w:val="18"/>
              </w:rPr>
              <w:t>依托非冗余病原体参考基因组数据库，结合物种特异性 marker 基因（如细菌 16S rRNA、真菌 ITS 序列）进行二次比对；验证序列同源性，排除跨物种同源序列导致的假阳性。</w:t>
            </w:r>
          </w:p>
        </w:tc>
      </w:tr>
      <w:tr w14:paraId="4D3EAB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15" w:type="dxa"/>
            <w:left w:w="15" w:type="dxa"/>
            <w:bottom w:w="15" w:type="dxa"/>
            <w:right w:w="15" w:type="dxa"/>
          </w:tblCellMar>
        </w:tblPrEx>
        <w:trPr>
          <w:jc w:val="center"/>
        </w:trPr>
        <w:tc>
          <w:tcPr>
            <w:tcW w:w="676" w:type="pct"/>
            <w:shd w:val="clear" w:color="auto" w:fill="FFFFFF"/>
            <w:tcMar>
              <w:top w:w="120" w:type="dxa"/>
              <w:left w:w="180" w:type="dxa"/>
              <w:bottom w:w="120" w:type="dxa"/>
              <w:right w:w="180" w:type="dxa"/>
            </w:tcMar>
            <w:vAlign w:val="center"/>
          </w:tcPr>
          <w:p w14:paraId="379004C1">
            <w:pPr>
              <w:pStyle w:val="56"/>
              <w:ind w:firstLine="0" w:firstLineChars="0"/>
              <w:jc w:val="center"/>
              <w:rPr>
                <w:rFonts w:ascii="宋体" w:hAnsi="宋体" w:cs="Segoe UI"/>
                <w:sz w:val="18"/>
                <w:szCs w:val="18"/>
              </w:rPr>
            </w:pPr>
            <w:r>
              <w:rPr>
                <w:rFonts w:ascii="宋体" w:hAnsi="宋体" w:cs="Segoe UI"/>
                <w:sz w:val="18"/>
                <w:szCs w:val="18"/>
              </w:rPr>
              <w:t>结果评分</w:t>
            </w:r>
          </w:p>
        </w:tc>
        <w:tc>
          <w:tcPr>
            <w:tcW w:w="1022" w:type="pct"/>
            <w:shd w:val="clear" w:color="auto" w:fill="FFFFFF"/>
            <w:tcMar>
              <w:top w:w="120" w:type="dxa"/>
              <w:left w:w="180" w:type="dxa"/>
              <w:bottom w:w="120" w:type="dxa"/>
              <w:right w:w="180" w:type="dxa"/>
            </w:tcMar>
            <w:vAlign w:val="center"/>
          </w:tcPr>
          <w:p w14:paraId="3A1D3349">
            <w:pPr>
              <w:pStyle w:val="56"/>
              <w:ind w:firstLine="0" w:firstLineChars="0"/>
              <w:jc w:val="center"/>
              <w:rPr>
                <w:rFonts w:ascii="宋体" w:hAnsi="宋体" w:cs="Segoe UI"/>
                <w:sz w:val="18"/>
                <w:szCs w:val="18"/>
              </w:rPr>
            </w:pPr>
            <w:r>
              <w:rPr>
                <w:rFonts w:hint="eastAsia" w:ascii="宋体" w:hAnsi="宋体" w:cs="Segoe UI"/>
                <w:sz w:val="18"/>
                <w:szCs w:val="18"/>
              </w:rPr>
              <w:t>NPAS 排序与验证</w:t>
            </w:r>
          </w:p>
        </w:tc>
        <w:tc>
          <w:tcPr>
            <w:tcW w:w="3302" w:type="pct"/>
            <w:shd w:val="clear" w:color="auto" w:fill="FFFFFF"/>
            <w:tcMar>
              <w:top w:w="120" w:type="dxa"/>
              <w:left w:w="180" w:type="dxa"/>
              <w:bottom w:w="120" w:type="dxa"/>
              <w:right w:w="180" w:type="dxa"/>
            </w:tcMar>
            <w:vAlign w:val="center"/>
          </w:tcPr>
          <w:p w14:paraId="11ED197B">
            <w:pPr>
              <w:pStyle w:val="56"/>
              <w:ind w:firstLine="0" w:firstLineChars="0"/>
              <w:rPr>
                <w:rFonts w:ascii="宋体" w:hAnsi="宋体" w:cs="Segoe UI"/>
                <w:sz w:val="18"/>
                <w:szCs w:val="18"/>
              </w:rPr>
            </w:pPr>
            <w:r>
              <w:rPr>
                <w:rFonts w:hint="eastAsia" w:ascii="宋体" w:hAnsi="宋体" w:cs="Segoe UI"/>
                <w:sz w:val="18"/>
                <w:szCs w:val="18"/>
              </w:rPr>
              <w:t>综合 unique kmers、unique reads、基因组大小、碱基覆盖度、序列覆盖度等指标计算 NPAS 评分；按 NPAS 得分从高到低排序；将排名前十的病原体提交，必要时结合临床症状或其他方法进一步验证。</w:t>
            </w:r>
          </w:p>
        </w:tc>
      </w:tr>
    </w:tbl>
    <w:p w14:paraId="4E469D34">
      <w:pPr>
        <w:pStyle w:val="56"/>
        <w:ind w:firstLine="420"/>
      </w:pPr>
    </w:p>
    <w:p w14:paraId="14052F29">
      <w:pPr>
        <w:pStyle w:val="56"/>
        <w:ind w:firstLine="420"/>
      </w:pPr>
    </w:p>
    <w:p w14:paraId="73E29CC1">
      <w:pPr>
        <w:pStyle w:val="56"/>
        <w:ind w:firstLine="420"/>
      </w:pPr>
    </w:p>
    <w:p w14:paraId="6C527763">
      <w:pPr>
        <w:pStyle w:val="56"/>
        <w:ind w:firstLine="420"/>
      </w:pPr>
    </w:p>
    <w:p w14:paraId="5634CDFA">
      <w:pPr>
        <w:pStyle w:val="56"/>
        <w:ind w:firstLine="420"/>
        <w:sectPr>
          <w:pgSz w:w="11906" w:h="16838"/>
          <w:pgMar w:top="1928" w:right="1134" w:bottom="1134" w:left="1134" w:header="1418" w:footer="1134" w:gutter="284"/>
          <w:cols w:space="425" w:num="1"/>
          <w:formProt w:val="0"/>
          <w:docGrid w:linePitch="312" w:charSpace="0"/>
        </w:sectPr>
      </w:pPr>
    </w:p>
    <w:p w14:paraId="10EF1DCF">
      <w:pPr>
        <w:pStyle w:val="198"/>
        <w:rPr>
          <w:vanish w:val="0"/>
        </w:rPr>
      </w:pPr>
    </w:p>
    <w:p w14:paraId="6C54951A">
      <w:pPr>
        <w:pStyle w:val="199"/>
        <w:rPr>
          <w:vanish w:val="0"/>
        </w:rPr>
      </w:pPr>
    </w:p>
    <w:p w14:paraId="055D1A6E">
      <w:pPr>
        <w:pStyle w:val="76"/>
        <w:spacing w:after="120"/>
        <w:rPr>
          <w:rFonts w:hint="eastAsia"/>
        </w:rPr>
      </w:pPr>
      <w:r>
        <w:br w:type="textWrapping"/>
      </w:r>
      <w:r>
        <w:rPr>
          <w:rFonts w:hint="eastAsia"/>
        </w:rPr>
        <w:t>（资料性）</w:t>
      </w:r>
      <w:r>
        <w:br w:type="textWrapping"/>
      </w:r>
      <w:r>
        <w:rPr>
          <w:rFonts w:hint="eastAsia"/>
        </w:rPr>
        <w:t>核心分析工具及其运行的原代码</w:t>
      </w:r>
    </w:p>
    <w:p w14:paraId="1A665B3C">
      <w:pPr>
        <w:pStyle w:val="56"/>
        <w:ind w:firstLine="420"/>
      </w:pPr>
    </w:p>
    <w:p w14:paraId="254306D5">
      <w:pPr>
        <w:pStyle w:val="56"/>
        <w:ind w:firstLine="420"/>
        <w:rPr>
          <w:rFonts w:hint="eastAsia" w:ascii="宋体" w:hAnsi="宋体"/>
          <w:szCs w:val="21"/>
        </w:rPr>
      </w:pPr>
      <w:r>
        <w:rPr>
          <w:rFonts w:hint="eastAsia" w:ascii="宋体" w:hAnsi="宋体"/>
          <w:szCs w:val="21"/>
        </w:rPr>
        <w:t>核心的分析工具安装指南（conda 方式）</w:t>
      </w:r>
    </w:p>
    <w:p w14:paraId="2F1CBC89">
      <w:pPr>
        <w:pStyle w:val="56"/>
        <w:ind w:firstLine="420"/>
        <w:rPr>
          <w:rFonts w:ascii="宋体" w:hAnsi="宋体"/>
          <w:szCs w:val="21"/>
        </w:rPr>
      </w:pPr>
    </w:p>
    <w:p w14:paraId="57AFA982">
      <w:pPr>
        <w:pStyle w:val="56"/>
        <w:ind w:firstLine="420"/>
        <w:rPr>
          <w:rFonts w:hint="eastAsia" w:ascii="宋体" w:hAnsi="宋体"/>
          <w:szCs w:val="21"/>
        </w:rPr>
      </w:pPr>
      <w:r>
        <w:rPr>
          <w:rFonts w:hint="eastAsia" w:ascii="宋体" w:hAnsi="宋体"/>
          <w:szCs w:val="21"/>
        </w:rPr>
        <w:t># 创建conda环境</w:t>
      </w:r>
    </w:p>
    <w:p w14:paraId="472BDDD2">
      <w:pPr>
        <w:pStyle w:val="56"/>
        <w:ind w:firstLine="420"/>
        <w:rPr>
          <w:rFonts w:ascii="宋体" w:hAnsi="宋体"/>
          <w:szCs w:val="21"/>
        </w:rPr>
      </w:pPr>
      <w:r>
        <w:rPr>
          <w:rFonts w:ascii="宋体" w:hAnsi="宋体"/>
          <w:szCs w:val="21"/>
        </w:rPr>
        <w:t>conda create -n hpd_kit_env python=3.9 -y</w:t>
      </w:r>
    </w:p>
    <w:p w14:paraId="3BB130B9">
      <w:pPr>
        <w:pStyle w:val="56"/>
        <w:ind w:firstLine="420"/>
        <w:rPr>
          <w:rFonts w:ascii="宋体" w:hAnsi="宋体"/>
          <w:szCs w:val="21"/>
        </w:rPr>
      </w:pPr>
      <w:r>
        <w:rPr>
          <w:rFonts w:ascii="宋体" w:hAnsi="宋体"/>
          <w:szCs w:val="21"/>
        </w:rPr>
        <w:t>conda activate hpd_kit_env</w:t>
      </w:r>
    </w:p>
    <w:p w14:paraId="1E5D1CA1">
      <w:pPr>
        <w:pStyle w:val="56"/>
        <w:ind w:firstLine="420"/>
        <w:rPr>
          <w:rFonts w:ascii="宋体" w:hAnsi="宋体"/>
          <w:szCs w:val="21"/>
        </w:rPr>
      </w:pPr>
    </w:p>
    <w:p w14:paraId="72503B34">
      <w:pPr>
        <w:pStyle w:val="56"/>
        <w:ind w:firstLine="420"/>
        <w:rPr>
          <w:rFonts w:hint="eastAsia" w:ascii="宋体" w:hAnsi="宋体"/>
          <w:szCs w:val="21"/>
        </w:rPr>
      </w:pPr>
      <w:r>
        <w:rPr>
          <w:rFonts w:hint="eastAsia" w:ascii="宋体" w:hAnsi="宋体"/>
          <w:szCs w:val="21"/>
        </w:rPr>
        <w:t># 安装工具</w:t>
      </w:r>
    </w:p>
    <w:p w14:paraId="39199A3C">
      <w:pPr>
        <w:pStyle w:val="56"/>
        <w:ind w:firstLine="420"/>
        <w:rPr>
          <w:rFonts w:hint="eastAsia" w:ascii="宋体" w:hAnsi="宋体"/>
          <w:szCs w:val="21"/>
        </w:rPr>
      </w:pPr>
      <w:r>
        <w:rPr>
          <w:rFonts w:hint="eastAsia" w:ascii="宋体" w:hAnsi="宋体"/>
          <w:szCs w:val="21"/>
        </w:rPr>
        <w:t>conda install -y fastp bowtie2 samtools kraken2 blast  # 核心比对/质控工具</w:t>
      </w:r>
    </w:p>
    <w:p w14:paraId="2DB6836A">
      <w:pPr>
        <w:pStyle w:val="56"/>
        <w:ind w:firstLine="420"/>
        <w:rPr>
          <w:rFonts w:hint="eastAsia" w:ascii="宋体" w:hAnsi="宋体"/>
          <w:szCs w:val="21"/>
        </w:rPr>
      </w:pPr>
      <w:r>
        <w:rPr>
          <w:rFonts w:hint="eastAsia" w:ascii="宋体" w:hAnsi="宋体"/>
          <w:szCs w:val="21"/>
        </w:rPr>
        <w:t>pip install komplexity numpy  # 低复杂度过滤+数值计算</w:t>
      </w:r>
    </w:p>
    <w:p w14:paraId="32A91B78">
      <w:pPr>
        <w:pStyle w:val="56"/>
        <w:ind w:firstLine="420"/>
        <w:rPr>
          <w:rFonts w:hint="eastAsia" w:ascii="宋体" w:hAnsi="宋体"/>
          <w:szCs w:val="21"/>
        </w:rPr>
      </w:pPr>
      <w:r>
        <w:rPr>
          <w:rFonts w:hint="eastAsia" w:ascii="宋体" w:hAnsi="宋体"/>
          <w:szCs w:val="21"/>
        </w:rPr>
        <w:t>conda install -y kronatools  # 可视化工具</w:t>
      </w:r>
    </w:p>
    <w:p w14:paraId="2CD654EC">
      <w:pPr>
        <w:pStyle w:val="56"/>
        <w:ind w:firstLine="420"/>
        <w:rPr>
          <w:rFonts w:ascii="宋体" w:hAnsi="宋体"/>
          <w:szCs w:val="21"/>
        </w:rPr>
      </w:pPr>
    </w:p>
    <w:p w14:paraId="22253EF6">
      <w:pPr>
        <w:pStyle w:val="56"/>
        <w:ind w:firstLine="420"/>
        <w:rPr>
          <w:rFonts w:ascii="宋体" w:hAnsi="宋体"/>
          <w:szCs w:val="21"/>
        </w:rPr>
      </w:pPr>
    </w:p>
    <w:p w14:paraId="74451D40">
      <w:pPr>
        <w:pStyle w:val="56"/>
        <w:ind w:firstLine="420"/>
        <w:rPr>
          <w:rFonts w:hint="eastAsia" w:ascii="宋体" w:hAnsi="宋体"/>
          <w:szCs w:val="21"/>
        </w:rPr>
      </w:pPr>
      <w:r>
        <w:rPr>
          <w:rFonts w:hint="eastAsia" w:ascii="宋体" w:hAnsi="宋体"/>
          <w:szCs w:val="21"/>
        </w:rPr>
        <w:t>Kraken2 候选物种筛选 Python 脚本（简化版）</w:t>
      </w:r>
    </w:p>
    <w:p w14:paraId="200D3795">
      <w:pPr>
        <w:pStyle w:val="56"/>
        <w:ind w:firstLine="420"/>
        <w:rPr>
          <w:rFonts w:ascii="宋体" w:hAnsi="宋体"/>
          <w:szCs w:val="21"/>
        </w:rPr>
      </w:pPr>
    </w:p>
    <w:p w14:paraId="30599ADE">
      <w:pPr>
        <w:pStyle w:val="56"/>
        <w:ind w:firstLine="420"/>
        <w:rPr>
          <w:rFonts w:hint="eastAsia" w:ascii="宋体" w:hAnsi="宋体"/>
          <w:szCs w:val="21"/>
        </w:rPr>
      </w:pPr>
      <w:r>
        <w:rPr>
          <w:rFonts w:hint="eastAsia" w:ascii="宋体" w:hAnsi="宋体"/>
          <w:szCs w:val="21"/>
        </w:rPr>
        <w:t># 读取Kraken2报告（kraken2_report.txt）</w:t>
      </w:r>
    </w:p>
    <w:p w14:paraId="0A935B2D">
      <w:pPr>
        <w:pStyle w:val="56"/>
        <w:ind w:firstLine="420"/>
        <w:rPr>
          <w:rFonts w:ascii="宋体" w:hAnsi="宋体"/>
          <w:szCs w:val="21"/>
        </w:rPr>
      </w:pPr>
      <w:r>
        <w:rPr>
          <w:rFonts w:ascii="宋体" w:hAnsi="宋体"/>
          <w:szCs w:val="21"/>
        </w:rPr>
        <w:t>with open("kraken2_report.txt", "r") as f:</w:t>
      </w:r>
    </w:p>
    <w:p w14:paraId="2FCC2312">
      <w:pPr>
        <w:pStyle w:val="56"/>
        <w:ind w:firstLine="420"/>
        <w:rPr>
          <w:rFonts w:ascii="宋体" w:hAnsi="宋体"/>
          <w:szCs w:val="21"/>
        </w:rPr>
      </w:pPr>
      <w:r>
        <w:rPr>
          <w:rFonts w:ascii="宋体" w:hAnsi="宋体"/>
          <w:szCs w:val="21"/>
        </w:rPr>
        <w:t xml:space="preserve">    for line in f:</w:t>
      </w:r>
    </w:p>
    <w:p w14:paraId="4C8360FF">
      <w:pPr>
        <w:pStyle w:val="56"/>
        <w:ind w:firstLine="420"/>
        <w:rPr>
          <w:rFonts w:ascii="宋体" w:hAnsi="宋体"/>
          <w:szCs w:val="21"/>
        </w:rPr>
      </w:pPr>
      <w:r>
        <w:rPr>
          <w:rFonts w:ascii="宋体" w:hAnsi="宋体"/>
          <w:szCs w:val="21"/>
        </w:rPr>
        <w:t xml:space="preserve">        parts = line.strip().split("\t")</w:t>
      </w:r>
    </w:p>
    <w:p w14:paraId="4A3A57BB">
      <w:pPr>
        <w:pStyle w:val="56"/>
        <w:ind w:firstLine="420"/>
        <w:rPr>
          <w:rFonts w:hint="eastAsia" w:ascii="宋体" w:hAnsi="宋体"/>
          <w:szCs w:val="21"/>
        </w:rPr>
      </w:pPr>
      <w:r>
        <w:rPr>
          <w:rFonts w:hint="eastAsia" w:ascii="宋体" w:hAnsi="宋体"/>
          <w:szCs w:val="21"/>
        </w:rPr>
        <w:t xml:space="preserve">        rank = parts[3]  # 分类级别（S=物种）</w:t>
      </w:r>
    </w:p>
    <w:p w14:paraId="3ABD8C8B">
      <w:pPr>
        <w:pStyle w:val="56"/>
        <w:ind w:firstLine="420"/>
        <w:rPr>
          <w:rFonts w:hint="eastAsia" w:ascii="宋体" w:hAnsi="宋体"/>
          <w:szCs w:val="21"/>
        </w:rPr>
      </w:pPr>
      <w:r>
        <w:rPr>
          <w:rFonts w:hint="eastAsia" w:ascii="宋体" w:hAnsi="宋体"/>
          <w:szCs w:val="21"/>
        </w:rPr>
        <w:t xml:space="preserve">        reads = int(parts[2])  # reads数</w:t>
      </w:r>
    </w:p>
    <w:p w14:paraId="1D147751">
      <w:pPr>
        <w:pStyle w:val="56"/>
        <w:ind w:firstLine="420"/>
        <w:rPr>
          <w:rFonts w:hint="eastAsia" w:ascii="宋体" w:hAnsi="宋体"/>
          <w:szCs w:val="21"/>
        </w:rPr>
      </w:pPr>
      <w:r>
        <w:rPr>
          <w:rFonts w:hint="eastAsia" w:ascii="宋体" w:hAnsi="宋体"/>
          <w:szCs w:val="21"/>
        </w:rPr>
        <w:t xml:space="preserve">        species = parts[5]  # 物种名</w:t>
      </w:r>
    </w:p>
    <w:p w14:paraId="09E37CE2">
      <w:pPr>
        <w:pStyle w:val="56"/>
        <w:ind w:firstLine="420"/>
        <w:rPr>
          <w:rFonts w:ascii="宋体" w:hAnsi="宋体"/>
          <w:szCs w:val="21"/>
        </w:rPr>
      </w:pPr>
      <w:r>
        <w:rPr>
          <w:rFonts w:ascii="宋体" w:hAnsi="宋体"/>
          <w:szCs w:val="21"/>
        </w:rPr>
        <w:t xml:space="preserve">        taxid = parts[4]  # TaxID</w:t>
      </w:r>
    </w:p>
    <w:p w14:paraId="45DFDEFC">
      <w:pPr>
        <w:pStyle w:val="56"/>
        <w:ind w:firstLine="420"/>
        <w:rPr>
          <w:rFonts w:ascii="宋体" w:hAnsi="宋体"/>
          <w:szCs w:val="21"/>
        </w:rPr>
      </w:pPr>
      <w:r>
        <w:rPr>
          <w:rFonts w:ascii="宋体" w:hAnsi="宋体"/>
          <w:szCs w:val="21"/>
        </w:rPr>
        <w:t xml:space="preserve">        </w:t>
      </w:r>
    </w:p>
    <w:p w14:paraId="59161C9C">
      <w:pPr>
        <w:pStyle w:val="56"/>
        <w:ind w:firstLine="420"/>
        <w:rPr>
          <w:rFonts w:hint="eastAsia" w:ascii="宋体" w:hAnsi="宋体"/>
          <w:szCs w:val="21"/>
        </w:rPr>
      </w:pPr>
      <w:r>
        <w:rPr>
          <w:rFonts w:hint="eastAsia" w:ascii="宋体" w:hAnsi="宋体"/>
          <w:szCs w:val="21"/>
        </w:rPr>
        <w:t xml:space="preserve">        # 条件1：reads数＞10</w:t>
      </w:r>
    </w:p>
    <w:p w14:paraId="71684FCC">
      <w:pPr>
        <w:pStyle w:val="56"/>
        <w:ind w:firstLine="420"/>
        <w:rPr>
          <w:rFonts w:ascii="宋体" w:hAnsi="宋体"/>
          <w:szCs w:val="21"/>
        </w:rPr>
      </w:pPr>
      <w:r>
        <w:rPr>
          <w:rFonts w:ascii="宋体" w:hAnsi="宋体"/>
          <w:szCs w:val="21"/>
        </w:rPr>
        <w:t xml:space="preserve">        if reads &gt; 10:</w:t>
      </w:r>
    </w:p>
    <w:p w14:paraId="705EF644">
      <w:pPr>
        <w:pStyle w:val="56"/>
        <w:ind w:firstLine="420"/>
        <w:rPr>
          <w:rFonts w:hint="eastAsia" w:ascii="宋体" w:hAnsi="宋体"/>
          <w:szCs w:val="21"/>
        </w:rPr>
      </w:pPr>
      <w:r>
        <w:rPr>
          <w:rFonts w:hint="eastAsia" w:ascii="宋体" w:hAnsi="宋体"/>
          <w:szCs w:val="21"/>
        </w:rPr>
        <w:t xml:space="preserve">            # 统计该物种的unique k-mer数（需从kraken2_raw.txt中提取，此处简化为假设值）</w:t>
      </w:r>
    </w:p>
    <w:p w14:paraId="6F4BCC29">
      <w:pPr>
        <w:pStyle w:val="56"/>
        <w:ind w:firstLine="420"/>
        <w:rPr>
          <w:rFonts w:hint="eastAsia" w:ascii="宋体" w:hAnsi="宋体"/>
          <w:szCs w:val="21"/>
        </w:rPr>
      </w:pPr>
      <w:r>
        <w:rPr>
          <w:rFonts w:hint="eastAsia" w:ascii="宋体" w:hAnsi="宋体"/>
          <w:szCs w:val="21"/>
        </w:rPr>
        <w:t xml:space="preserve">            unique_kmer = 1200  # 实际需从raw文件统计</w:t>
      </w:r>
    </w:p>
    <w:p w14:paraId="0457CB29">
      <w:pPr>
        <w:pStyle w:val="56"/>
        <w:ind w:firstLine="420"/>
        <w:rPr>
          <w:rFonts w:hint="eastAsia" w:ascii="宋体" w:hAnsi="宋体"/>
          <w:szCs w:val="21"/>
        </w:rPr>
      </w:pPr>
      <w:r>
        <w:rPr>
          <w:rFonts w:hint="eastAsia" w:ascii="宋体" w:hAnsi="宋体"/>
          <w:szCs w:val="21"/>
        </w:rPr>
        <w:t xml:space="preserve">            # 条件2：unique k-mer＞800 或 比值＞10</w:t>
      </w:r>
    </w:p>
    <w:p w14:paraId="462EE3A5">
      <w:pPr>
        <w:pStyle w:val="56"/>
        <w:ind w:firstLine="420"/>
        <w:rPr>
          <w:rFonts w:ascii="宋体" w:hAnsi="宋体"/>
          <w:szCs w:val="21"/>
        </w:rPr>
      </w:pPr>
      <w:r>
        <w:rPr>
          <w:rFonts w:ascii="宋体" w:hAnsi="宋体"/>
          <w:szCs w:val="21"/>
        </w:rPr>
        <w:t xml:space="preserve">            if unique_kmer &gt; 800 or (unique_kmer / reads) &gt; 10:</w:t>
      </w:r>
    </w:p>
    <w:p w14:paraId="2FB1091D">
      <w:pPr>
        <w:pStyle w:val="56"/>
        <w:ind w:firstLine="420"/>
        <w:rPr>
          <w:rFonts w:ascii="宋体" w:hAnsi="宋体"/>
          <w:szCs w:val="21"/>
        </w:rPr>
      </w:pPr>
      <w:r>
        <w:rPr>
          <w:rFonts w:ascii="宋体" w:hAnsi="宋体"/>
          <w:szCs w:val="21"/>
        </w:rPr>
        <w:t xml:space="preserve">                print(f"{species}\t{taxid}\t{reads}\t{unique_kmer}")</w:t>
      </w:r>
    </w:p>
    <w:p w14:paraId="6A987A8A">
      <w:pPr>
        <w:pStyle w:val="56"/>
        <w:ind w:firstLine="420"/>
        <w:rPr>
          <w:rFonts w:ascii="宋体" w:hAnsi="宋体"/>
          <w:szCs w:val="21"/>
        </w:rPr>
      </w:pPr>
    </w:p>
    <w:p w14:paraId="6F3B8C12">
      <w:pPr>
        <w:pStyle w:val="56"/>
        <w:ind w:firstLine="420"/>
        <w:rPr>
          <w:rFonts w:ascii="宋体" w:hAnsi="宋体"/>
          <w:szCs w:val="21"/>
        </w:rPr>
      </w:pPr>
    </w:p>
    <w:p w14:paraId="2362F2F1">
      <w:pPr>
        <w:pStyle w:val="56"/>
        <w:ind w:firstLine="420"/>
        <w:rPr>
          <w:rFonts w:hint="eastAsia" w:ascii="宋体" w:hAnsi="宋体"/>
          <w:szCs w:val="21"/>
        </w:rPr>
      </w:pPr>
      <w:r>
        <w:rPr>
          <w:rFonts w:hint="eastAsia" w:ascii="宋体" w:hAnsi="宋体"/>
          <w:szCs w:val="21"/>
        </w:rPr>
        <w:t>BLAST 双端一致性验证 Python 脚本（简化版）</w:t>
      </w:r>
    </w:p>
    <w:p w14:paraId="2176341E">
      <w:pPr>
        <w:pStyle w:val="56"/>
        <w:ind w:firstLine="420"/>
        <w:rPr>
          <w:rFonts w:ascii="宋体" w:hAnsi="宋体"/>
          <w:szCs w:val="21"/>
        </w:rPr>
      </w:pPr>
    </w:p>
    <w:p w14:paraId="47235B1E">
      <w:pPr>
        <w:pStyle w:val="56"/>
        <w:ind w:firstLine="420"/>
        <w:rPr>
          <w:rFonts w:hint="eastAsia" w:ascii="宋体" w:hAnsi="宋体"/>
          <w:szCs w:val="21"/>
        </w:rPr>
      </w:pPr>
      <w:r>
        <w:rPr>
          <w:rFonts w:hint="eastAsia" w:ascii="宋体" w:hAnsi="宋体"/>
          <w:szCs w:val="21"/>
        </w:rPr>
        <w:t># 读取BLAST结果（blast_result.txt）</w:t>
      </w:r>
    </w:p>
    <w:p w14:paraId="53DA2AA6">
      <w:pPr>
        <w:pStyle w:val="56"/>
        <w:ind w:firstLine="420"/>
        <w:rPr>
          <w:rFonts w:ascii="宋体" w:hAnsi="宋体"/>
          <w:szCs w:val="21"/>
        </w:rPr>
      </w:pPr>
      <w:r>
        <w:rPr>
          <w:rFonts w:ascii="宋体" w:hAnsi="宋体"/>
          <w:szCs w:val="21"/>
        </w:rPr>
        <w:t>pair_consistency = {}</w:t>
      </w:r>
    </w:p>
    <w:p w14:paraId="750E9198">
      <w:pPr>
        <w:pStyle w:val="56"/>
        <w:ind w:firstLine="420"/>
        <w:rPr>
          <w:rFonts w:ascii="宋体" w:hAnsi="宋体"/>
          <w:szCs w:val="21"/>
        </w:rPr>
      </w:pPr>
      <w:r>
        <w:rPr>
          <w:rFonts w:ascii="宋体" w:hAnsi="宋体"/>
          <w:szCs w:val="21"/>
        </w:rPr>
        <w:t>with open("blast_result.txt", "r") as f:</w:t>
      </w:r>
    </w:p>
    <w:p w14:paraId="27A732E4">
      <w:pPr>
        <w:pStyle w:val="56"/>
        <w:ind w:firstLine="420"/>
        <w:rPr>
          <w:rFonts w:ascii="宋体" w:hAnsi="宋体"/>
          <w:szCs w:val="21"/>
        </w:rPr>
      </w:pPr>
      <w:r>
        <w:rPr>
          <w:rFonts w:ascii="宋体" w:hAnsi="宋体"/>
          <w:szCs w:val="21"/>
        </w:rPr>
        <w:t xml:space="preserve">    for line in f:</w:t>
      </w:r>
    </w:p>
    <w:p w14:paraId="0942B468">
      <w:pPr>
        <w:pStyle w:val="56"/>
        <w:ind w:firstLine="420"/>
        <w:rPr>
          <w:rFonts w:ascii="宋体" w:hAnsi="宋体"/>
          <w:szCs w:val="21"/>
        </w:rPr>
      </w:pPr>
      <w:r>
        <w:rPr>
          <w:rFonts w:ascii="宋体" w:hAnsi="宋体"/>
          <w:szCs w:val="21"/>
        </w:rPr>
        <w:t xml:space="preserve">        parts = line.strip().split("\t")</w:t>
      </w:r>
    </w:p>
    <w:p w14:paraId="388F529E">
      <w:pPr>
        <w:pStyle w:val="56"/>
        <w:ind w:firstLine="420"/>
        <w:rPr>
          <w:rFonts w:hint="eastAsia" w:ascii="宋体" w:hAnsi="宋体"/>
          <w:szCs w:val="21"/>
        </w:rPr>
      </w:pPr>
      <w:r>
        <w:rPr>
          <w:rFonts w:hint="eastAsia" w:ascii="宋体" w:hAnsi="宋体"/>
          <w:szCs w:val="21"/>
        </w:rPr>
        <w:t xml:space="preserve">        read_id = parts[0]  # 读段ID（如R1为XXX.1，R2为XXX.2）</w:t>
      </w:r>
    </w:p>
    <w:p w14:paraId="4D96CCE9">
      <w:pPr>
        <w:pStyle w:val="56"/>
        <w:ind w:firstLine="420"/>
        <w:rPr>
          <w:rFonts w:hint="eastAsia" w:ascii="宋体" w:hAnsi="宋体"/>
          <w:szCs w:val="21"/>
        </w:rPr>
      </w:pPr>
      <w:r>
        <w:rPr>
          <w:rFonts w:hint="eastAsia" w:ascii="宋体" w:hAnsi="宋体"/>
          <w:szCs w:val="21"/>
        </w:rPr>
        <w:t xml:space="preserve">        taxid = parts[4]    # 比对到的TaxID</w:t>
      </w:r>
    </w:p>
    <w:p w14:paraId="2304D04B">
      <w:pPr>
        <w:pStyle w:val="56"/>
        <w:ind w:firstLine="420"/>
        <w:rPr>
          <w:rFonts w:hint="eastAsia" w:ascii="宋体" w:hAnsi="宋体"/>
          <w:szCs w:val="21"/>
        </w:rPr>
      </w:pPr>
      <w:r>
        <w:rPr>
          <w:rFonts w:hint="eastAsia" w:ascii="宋体" w:hAnsi="宋体"/>
          <w:szCs w:val="21"/>
        </w:rPr>
        <w:t xml:space="preserve">        # 提取配对ID（如XXX.1和XXX.2的共同前缀XXX）</w:t>
      </w:r>
    </w:p>
    <w:p w14:paraId="25DACCAE">
      <w:pPr>
        <w:pStyle w:val="56"/>
        <w:ind w:firstLine="420"/>
        <w:rPr>
          <w:rFonts w:ascii="宋体" w:hAnsi="宋体"/>
          <w:szCs w:val="21"/>
        </w:rPr>
      </w:pPr>
      <w:r>
        <w:rPr>
          <w:rFonts w:ascii="宋体" w:hAnsi="宋体"/>
          <w:szCs w:val="21"/>
        </w:rPr>
        <w:t xml:space="preserve">        pair_id = read_id.rsplit(".", 1)[0]</w:t>
      </w:r>
    </w:p>
    <w:p w14:paraId="649A39D2">
      <w:pPr>
        <w:pStyle w:val="56"/>
        <w:ind w:firstLine="420"/>
        <w:rPr>
          <w:rFonts w:ascii="宋体" w:hAnsi="宋体"/>
          <w:szCs w:val="21"/>
        </w:rPr>
      </w:pPr>
      <w:r>
        <w:rPr>
          <w:rFonts w:ascii="宋体" w:hAnsi="宋体"/>
          <w:szCs w:val="21"/>
        </w:rPr>
        <w:t xml:space="preserve">        </w:t>
      </w:r>
    </w:p>
    <w:p w14:paraId="2395DC6C">
      <w:pPr>
        <w:pStyle w:val="56"/>
        <w:ind w:firstLine="420"/>
        <w:rPr>
          <w:rFonts w:ascii="宋体" w:hAnsi="宋体"/>
          <w:szCs w:val="21"/>
        </w:rPr>
      </w:pPr>
      <w:r>
        <w:rPr>
          <w:rFonts w:ascii="宋体" w:hAnsi="宋体"/>
          <w:szCs w:val="21"/>
        </w:rPr>
        <w:t xml:space="preserve">        if pair_id not in pair_consistency:</w:t>
      </w:r>
    </w:p>
    <w:p w14:paraId="0916D9C7">
      <w:pPr>
        <w:pStyle w:val="56"/>
        <w:ind w:firstLine="420"/>
        <w:rPr>
          <w:rFonts w:ascii="宋体" w:hAnsi="宋体"/>
          <w:szCs w:val="21"/>
        </w:rPr>
      </w:pPr>
      <w:r>
        <w:rPr>
          <w:rFonts w:ascii="宋体" w:hAnsi="宋体"/>
          <w:szCs w:val="21"/>
        </w:rPr>
        <w:t xml:space="preserve">            pair_consistency[pair_id] = set()</w:t>
      </w:r>
    </w:p>
    <w:p w14:paraId="08392E6F">
      <w:pPr>
        <w:pStyle w:val="56"/>
        <w:ind w:firstLine="420"/>
        <w:rPr>
          <w:rFonts w:ascii="宋体" w:hAnsi="宋体"/>
          <w:szCs w:val="21"/>
        </w:rPr>
      </w:pPr>
      <w:r>
        <w:rPr>
          <w:rFonts w:ascii="宋体" w:hAnsi="宋体"/>
          <w:szCs w:val="21"/>
        </w:rPr>
        <w:t xml:space="preserve">        pair_consistency[pair_id].add(taxid)</w:t>
      </w:r>
    </w:p>
    <w:p w14:paraId="089BBAE4">
      <w:pPr>
        <w:pStyle w:val="56"/>
        <w:ind w:firstLine="420"/>
        <w:rPr>
          <w:rFonts w:ascii="宋体" w:hAnsi="宋体"/>
          <w:szCs w:val="21"/>
        </w:rPr>
      </w:pPr>
    </w:p>
    <w:p w14:paraId="647272B5">
      <w:pPr>
        <w:pStyle w:val="56"/>
        <w:ind w:firstLine="420"/>
        <w:rPr>
          <w:rFonts w:hint="eastAsia" w:ascii="宋体" w:hAnsi="宋体"/>
          <w:szCs w:val="21"/>
        </w:rPr>
      </w:pPr>
      <w:r>
        <w:rPr>
          <w:rFonts w:hint="eastAsia" w:ascii="宋体" w:hAnsi="宋体"/>
          <w:szCs w:val="21"/>
        </w:rPr>
        <w:t># 统计双端一致的比例</w:t>
      </w:r>
    </w:p>
    <w:p w14:paraId="10C4C1CD">
      <w:pPr>
        <w:pStyle w:val="56"/>
        <w:ind w:firstLine="420"/>
        <w:rPr>
          <w:rFonts w:ascii="宋体" w:hAnsi="宋体"/>
          <w:szCs w:val="21"/>
        </w:rPr>
      </w:pPr>
      <w:r>
        <w:rPr>
          <w:rFonts w:ascii="宋体" w:hAnsi="宋体"/>
          <w:szCs w:val="21"/>
        </w:rPr>
        <w:t>consistent_pairs = 0</w:t>
      </w:r>
    </w:p>
    <w:p w14:paraId="03C395AC">
      <w:pPr>
        <w:pStyle w:val="56"/>
        <w:ind w:firstLine="420"/>
        <w:rPr>
          <w:rFonts w:ascii="宋体" w:hAnsi="宋体"/>
          <w:szCs w:val="21"/>
        </w:rPr>
      </w:pPr>
      <w:r>
        <w:rPr>
          <w:rFonts w:ascii="宋体" w:hAnsi="宋体"/>
          <w:szCs w:val="21"/>
        </w:rPr>
        <w:t>total_pairs = len(pair_consistency)</w:t>
      </w:r>
    </w:p>
    <w:p w14:paraId="57965417">
      <w:pPr>
        <w:pStyle w:val="56"/>
        <w:ind w:firstLine="420"/>
        <w:rPr>
          <w:rFonts w:ascii="宋体" w:hAnsi="宋体"/>
          <w:szCs w:val="21"/>
        </w:rPr>
      </w:pPr>
      <w:r>
        <w:rPr>
          <w:rFonts w:ascii="宋体" w:hAnsi="宋体"/>
          <w:szCs w:val="21"/>
        </w:rPr>
        <w:t>for taxids in pair_consistency.values():</w:t>
      </w:r>
    </w:p>
    <w:p w14:paraId="767D4E56">
      <w:pPr>
        <w:pStyle w:val="56"/>
        <w:ind w:firstLine="420"/>
        <w:rPr>
          <w:rFonts w:hint="eastAsia" w:ascii="宋体" w:hAnsi="宋体"/>
          <w:szCs w:val="21"/>
        </w:rPr>
      </w:pPr>
      <w:r>
        <w:rPr>
          <w:rFonts w:hint="eastAsia" w:ascii="宋体" w:hAnsi="宋体"/>
          <w:szCs w:val="21"/>
        </w:rPr>
        <w:t xml:space="preserve">    if len(taxids) == 1:  # 双端比对到同一TaxID</w:t>
      </w:r>
    </w:p>
    <w:p w14:paraId="2718D508">
      <w:pPr>
        <w:pStyle w:val="56"/>
        <w:ind w:firstLine="420"/>
        <w:rPr>
          <w:rFonts w:ascii="宋体" w:hAnsi="宋体"/>
          <w:szCs w:val="21"/>
        </w:rPr>
      </w:pPr>
      <w:r>
        <w:rPr>
          <w:rFonts w:ascii="宋体" w:hAnsi="宋体"/>
          <w:szCs w:val="21"/>
        </w:rPr>
        <w:t xml:space="preserve">        consistent_pairs += 1</w:t>
      </w:r>
    </w:p>
    <w:p w14:paraId="4AF0AFF3">
      <w:pPr>
        <w:pStyle w:val="56"/>
        <w:ind w:firstLine="420"/>
        <w:rPr>
          <w:rFonts w:ascii="宋体" w:hAnsi="宋体"/>
          <w:szCs w:val="21"/>
        </w:rPr>
      </w:pPr>
    </w:p>
    <w:p w14:paraId="50BEADEC">
      <w:pPr>
        <w:pStyle w:val="56"/>
        <w:ind w:firstLine="420"/>
        <w:rPr>
          <w:rFonts w:hint="eastAsia" w:ascii="宋体" w:hAnsi="宋体"/>
          <w:szCs w:val="21"/>
        </w:rPr>
      </w:pPr>
      <w:r>
        <w:rPr>
          <w:rFonts w:hint="eastAsia" w:ascii="宋体" w:hAnsi="宋体"/>
          <w:szCs w:val="21"/>
        </w:rPr>
        <w:t>print(f"双端一致性比例：{consistent_pairs/total_pairs:.2%}")</w:t>
      </w:r>
    </w:p>
    <w:p w14:paraId="67591645">
      <w:pPr>
        <w:pStyle w:val="56"/>
        <w:ind w:firstLine="420"/>
        <w:rPr>
          <w:rFonts w:ascii="宋体" w:hAnsi="宋体"/>
          <w:szCs w:val="21"/>
        </w:rPr>
      </w:pPr>
    </w:p>
    <w:p w14:paraId="21B39347">
      <w:pPr>
        <w:pStyle w:val="56"/>
        <w:ind w:firstLine="420"/>
        <w:rPr>
          <w:rFonts w:ascii="宋体" w:hAnsi="宋体"/>
          <w:szCs w:val="21"/>
        </w:rPr>
      </w:pPr>
    </w:p>
    <w:p w14:paraId="44AB39C8">
      <w:pPr>
        <w:pStyle w:val="56"/>
        <w:ind w:firstLine="420"/>
        <w:rPr>
          <w:rFonts w:hint="eastAsia" w:ascii="宋体" w:hAnsi="宋体"/>
          <w:szCs w:val="21"/>
        </w:rPr>
      </w:pPr>
      <w:r>
        <w:rPr>
          <w:rFonts w:hint="eastAsia" w:ascii="宋体" w:hAnsi="宋体"/>
          <w:szCs w:val="21"/>
        </w:rPr>
        <w:t>NPAS 批量计算 Python 脚本（简化版）</w:t>
      </w:r>
    </w:p>
    <w:p w14:paraId="41536734">
      <w:pPr>
        <w:pStyle w:val="56"/>
        <w:ind w:firstLine="420"/>
        <w:rPr>
          <w:rFonts w:ascii="宋体" w:hAnsi="宋体"/>
          <w:szCs w:val="21"/>
        </w:rPr>
      </w:pPr>
      <w:r>
        <w:rPr>
          <w:rFonts w:ascii="宋体" w:hAnsi="宋体"/>
          <w:szCs w:val="21"/>
        </w:rPr>
        <w:t>python</w:t>
      </w:r>
    </w:p>
    <w:p w14:paraId="0711D788">
      <w:pPr>
        <w:pStyle w:val="56"/>
        <w:ind w:firstLine="420"/>
        <w:rPr>
          <w:rFonts w:hint="eastAsia" w:ascii="宋体" w:hAnsi="宋体"/>
          <w:szCs w:val="21"/>
        </w:rPr>
      </w:pPr>
      <w:r>
        <w:rPr>
          <w:rFonts w:hint="eastAsia" w:ascii="宋体" w:hAnsi="宋体"/>
          <w:szCs w:val="21"/>
        </w:rPr>
        <w:t>运行</w:t>
      </w:r>
    </w:p>
    <w:p w14:paraId="784F5564">
      <w:pPr>
        <w:pStyle w:val="56"/>
        <w:ind w:firstLine="420"/>
        <w:rPr>
          <w:rFonts w:ascii="宋体" w:hAnsi="宋体"/>
          <w:szCs w:val="21"/>
        </w:rPr>
      </w:pPr>
      <w:r>
        <w:rPr>
          <w:rFonts w:ascii="宋体" w:hAnsi="宋体"/>
          <w:szCs w:val="21"/>
        </w:rPr>
        <w:t>import numpy as np</w:t>
      </w:r>
    </w:p>
    <w:p w14:paraId="038C3901">
      <w:pPr>
        <w:pStyle w:val="56"/>
        <w:ind w:firstLine="420"/>
        <w:rPr>
          <w:rFonts w:ascii="宋体" w:hAnsi="宋体"/>
          <w:szCs w:val="21"/>
        </w:rPr>
      </w:pPr>
      <w:r>
        <w:rPr>
          <w:rFonts w:ascii="宋体" w:hAnsi="宋体"/>
          <w:szCs w:val="21"/>
        </w:rPr>
        <w:t>import pandas as pd</w:t>
      </w:r>
    </w:p>
    <w:p w14:paraId="42D112D2">
      <w:pPr>
        <w:pStyle w:val="56"/>
        <w:ind w:firstLine="420"/>
        <w:rPr>
          <w:rFonts w:ascii="宋体" w:hAnsi="宋体"/>
          <w:szCs w:val="21"/>
        </w:rPr>
      </w:pPr>
    </w:p>
    <w:p w14:paraId="10E16ABB">
      <w:pPr>
        <w:pStyle w:val="56"/>
        <w:ind w:firstLine="420"/>
        <w:rPr>
          <w:rFonts w:hint="eastAsia" w:ascii="宋体" w:hAnsi="宋体"/>
          <w:szCs w:val="21"/>
        </w:rPr>
      </w:pPr>
      <w:r>
        <w:rPr>
          <w:rFonts w:hint="eastAsia" w:ascii="宋体" w:hAnsi="宋体"/>
          <w:szCs w:val="21"/>
        </w:rPr>
        <w:t># 读取参数表（csv格式，含各物种的参数）</w:t>
      </w:r>
    </w:p>
    <w:p w14:paraId="271F58E5">
      <w:pPr>
        <w:pStyle w:val="56"/>
        <w:ind w:firstLine="420"/>
        <w:rPr>
          <w:rFonts w:ascii="宋体" w:hAnsi="宋体"/>
          <w:szCs w:val="21"/>
        </w:rPr>
      </w:pPr>
      <w:r>
        <w:rPr>
          <w:rFonts w:ascii="宋体" w:hAnsi="宋体"/>
          <w:szCs w:val="21"/>
        </w:rPr>
        <w:t xml:space="preserve">params_df = pd.read_csv("pathogen_params.csv")  </w:t>
      </w:r>
    </w:p>
    <w:p w14:paraId="223C9B66">
      <w:pPr>
        <w:pStyle w:val="56"/>
        <w:ind w:firstLine="420"/>
        <w:rPr>
          <w:rFonts w:hint="eastAsia" w:ascii="宋体" w:hAnsi="宋体"/>
          <w:szCs w:val="21"/>
        </w:rPr>
      </w:pPr>
      <w:r>
        <w:rPr>
          <w:rFonts w:hint="eastAsia" w:ascii="宋体" w:hAnsi="宋体"/>
          <w:szCs w:val="21"/>
        </w:rPr>
        <w:t># 列</w:t>
      </w:r>
    </w:p>
    <w:p w14:paraId="6EC860C1">
      <w:pPr>
        <w:pStyle w:val="56"/>
        <w:ind w:firstLine="420"/>
        <w:rPr>
          <w:rFonts w:ascii="宋体" w:hAnsi="宋体"/>
          <w:szCs w:val="21"/>
        </w:rPr>
      </w:pPr>
      <w:r>
        <w:rPr>
          <w:rFonts w:ascii="宋体" w:hAnsi="宋体"/>
          <w:szCs w:val="21"/>
        </w:rPr>
        <w:t>species,taxid,unique_kmers,unique_reads,genome_size,sample_total_reads,npa_control,base_coverage,seq_coverage</w:t>
      </w:r>
    </w:p>
    <w:p w14:paraId="072F6F7C">
      <w:pPr>
        <w:pStyle w:val="56"/>
        <w:ind w:firstLine="420"/>
        <w:rPr>
          <w:rFonts w:ascii="宋体" w:hAnsi="宋体"/>
          <w:szCs w:val="21"/>
        </w:rPr>
      </w:pPr>
    </w:p>
    <w:p w14:paraId="7301E4DF">
      <w:pPr>
        <w:pStyle w:val="56"/>
        <w:ind w:firstLine="420"/>
        <w:rPr>
          <w:rFonts w:hint="eastAsia" w:ascii="宋体" w:hAnsi="宋体"/>
          <w:szCs w:val="21"/>
        </w:rPr>
      </w:pPr>
      <w:r>
        <w:rPr>
          <w:rFonts w:hint="eastAsia" w:ascii="宋体" w:hAnsi="宋体"/>
          <w:szCs w:val="21"/>
        </w:rPr>
        <w:t># 批量计算NPA和NPAS</w:t>
      </w:r>
    </w:p>
    <w:p w14:paraId="6374ABA4">
      <w:pPr>
        <w:pStyle w:val="56"/>
        <w:ind w:firstLine="420"/>
        <w:rPr>
          <w:rFonts w:ascii="宋体" w:hAnsi="宋体"/>
          <w:szCs w:val="21"/>
        </w:rPr>
      </w:pPr>
      <w:r>
        <w:rPr>
          <w:rFonts w:ascii="宋体" w:hAnsi="宋体"/>
          <w:szCs w:val="21"/>
        </w:rPr>
        <w:t>results = []</w:t>
      </w:r>
    </w:p>
    <w:p w14:paraId="70DBAC72">
      <w:pPr>
        <w:pStyle w:val="56"/>
        <w:ind w:firstLine="420"/>
        <w:rPr>
          <w:rFonts w:ascii="宋体" w:hAnsi="宋体"/>
          <w:szCs w:val="21"/>
        </w:rPr>
      </w:pPr>
      <w:r>
        <w:rPr>
          <w:rFonts w:ascii="宋体" w:hAnsi="宋体"/>
          <w:szCs w:val="21"/>
        </w:rPr>
        <w:t>for _, row in params_df.iterrows():</w:t>
      </w:r>
    </w:p>
    <w:p w14:paraId="7AB91A44">
      <w:pPr>
        <w:pStyle w:val="56"/>
        <w:ind w:firstLine="420"/>
        <w:rPr>
          <w:rFonts w:hint="eastAsia" w:ascii="宋体" w:hAnsi="宋体"/>
          <w:szCs w:val="21"/>
        </w:rPr>
      </w:pPr>
      <w:r>
        <w:rPr>
          <w:rFonts w:hint="eastAsia" w:ascii="宋体" w:hAnsi="宋体"/>
          <w:szCs w:val="21"/>
        </w:rPr>
        <w:t xml:space="preserve">    # 计算NPA</w:t>
      </w:r>
    </w:p>
    <w:p w14:paraId="4C5D2EAE">
      <w:pPr>
        <w:pStyle w:val="56"/>
        <w:ind w:firstLine="420"/>
        <w:rPr>
          <w:rFonts w:ascii="宋体" w:hAnsi="宋体"/>
          <w:szCs w:val="21"/>
        </w:rPr>
      </w:pPr>
      <w:r>
        <w:rPr>
          <w:rFonts w:ascii="宋体" w:hAnsi="宋体"/>
          <w:szCs w:val="21"/>
        </w:rPr>
        <w:t xml:space="preserve">    npa_case = (row["unique_kmers"] + row["unique_reads"]) / (row["genome_size"] * row["sample_total_reads"])</w:t>
      </w:r>
    </w:p>
    <w:p w14:paraId="135C63E8">
      <w:pPr>
        <w:pStyle w:val="56"/>
        <w:ind w:firstLine="420"/>
        <w:rPr>
          <w:rFonts w:hint="eastAsia" w:ascii="宋体" w:hAnsi="宋体"/>
          <w:szCs w:val="21"/>
        </w:rPr>
      </w:pPr>
      <w:r>
        <w:rPr>
          <w:rFonts w:hint="eastAsia" w:ascii="宋体" w:hAnsi="宋体"/>
          <w:szCs w:val="21"/>
        </w:rPr>
        <w:t xml:space="preserve">    # 计算NPAS</w:t>
      </w:r>
    </w:p>
    <w:p w14:paraId="28226569">
      <w:pPr>
        <w:pStyle w:val="56"/>
        <w:ind w:firstLine="420"/>
        <w:rPr>
          <w:rFonts w:ascii="宋体" w:hAnsi="宋体"/>
          <w:szCs w:val="21"/>
        </w:rPr>
      </w:pPr>
      <w:r>
        <w:rPr>
          <w:rFonts w:ascii="宋体" w:hAnsi="宋体"/>
          <w:szCs w:val="21"/>
        </w:rPr>
        <w:t xml:space="preserve">    npas = np.log2((npa_case + 1) / (row["npa_control"] + 1)) + (row["base_coverage"] + row["seq_coverage"]) / 2</w:t>
      </w:r>
    </w:p>
    <w:p w14:paraId="20357105">
      <w:pPr>
        <w:pStyle w:val="56"/>
        <w:ind w:firstLine="420"/>
        <w:rPr>
          <w:rFonts w:hint="eastAsia" w:ascii="宋体" w:hAnsi="宋体"/>
          <w:szCs w:val="21"/>
        </w:rPr>
      </w:pPr>
      <w:r>
        <w:rPr>
          <w:rFonts w:hint="eastAsia" w:ascii="宋体" w:hAnsi="宋体"/>
          <w:szCs w:val="21"/>
        </w:rPr>
        <w:t xml:space="preserve">    # 确定处置建议</w:t>
      </w:r>
    </w:p>
    <w:p w14:paraId="37727691">
      <w:pPr>
        <w:pStyle w:val="56"/>
        <w:ind w:firstLine="420"/>
        <w:rPr>
          <w:rFonts w:ascii="宋体" w:hAnsi="宋体"/>
          <w:szCs w:val="21"/>
        </w:rPr>
      </w:pPr>
      <w:r>
        <w:rPr>
          <w:rFonts w:ascii="宋体" w:hAnsi="宋体"/>
          <w:szCs w:val="21"/>
        </w:rPr>
        <w:t xml:space="preserve">    if npas &gt; 2.0:</w:t>
      </w:r>
    </w:p>
    <w:p w14:paraId="4A18BA1E">
      <w:pPr>
        <w:pStyle w:val="56"/>
        <w:ind w:firstLine="420"/>
        <w:rPr>
          <w:rFonts w:hint="eastAsia" w:ascii="宋体" w:hAnsi="宋体"/>
          <w:szCs w:val="21"/>
        </w:rPr>
      </w:pPr>
      <w:r>
        <w:rPr>
          <w:rFonts w:hint="eastAsia" w:ascii="宋体" w:hAnsi="宋体"/>
          <w:szCs w:val="21"/>
        </w:rPr>
        <w:t xml:space="preserve">        suggestion = "高度提示与感染相关，可用于临床决策"</w:t>
      </w:r>
    </w:p>
    <w:p w14:paraId="5032F9FA">
      <w:pPr>
        <w:pStyle w:val="56"/>
        <w:ind w:firstLine="420"/>
        <w:rPr>
          <w:rFonts w:ascii="宋体" w:hAnsi="宋体"/>
          <w:szCs w:val="21"/>
        </w:rPr>
      </w:pPr>
      <w:r>
        <w:rPr>
          <w:rFonts w:ascii="宋体" w:hAnsi="宋体"/>
          <w:szCs w:val="21"/>
        </w:rPr>
        <w:t xml:space="preserve">    elif 1.0 &lt;= npas &lt;= 2.0:</w:t>
      </w:r>
    </w:p>
    <w:p w14:paraId="3E1654AE">
      <w:pPr>
        <w:pStyle w:val="56"/>
        <w:ind w:firstLine="420"/>
        <w:rPr>
          <w:rFonts w:hint="eastAsia" w:ascii="宋体" w:hAnsi="宋体"/>
          <w:szCs w:val="21"/>
        </w:rPr>
      </w:pPr>
      <w:r>
        <w:rPr>
          <w:rFonts w:hint="eastAsia" w:ascii="宋体" w:hAnsi="宋体"/>
          <w:szCs w:val="21"/>
        </w:rPr>
        <w:t xml:space="preserve">        suggestion = "可能与感染相关，建议结合临床症状复核"</w:t>
      </w:r>
    </w:p>
    <w:p w14:paraId="2AEDBFBC">
      <w:pPr>
        <w:pStyle w:val="56"/>
        <w:ind w:firstLine="420"/>
        <w:rPr>
          <w:rFonts w:ascii="宋体" w:hAnsi="宋体"/>
          <w:szCs w:val="21"/>
        </w:rPr>
      </w:pPr>
      <w:r>
        <w:rPr>
          <w:rFonts w:ascii="宋体" w:hAnsi="宋体"/>
          <w:szCs w:val="21"/>
        </w:rPr>
        <w:t xml:space="preserve">    elif 0 &lt; npas &lt; 1.0:</w:t>
      </w:r>
    </w:p>
    <w:p w14:paraId="1979EB80">
      <w:pPr>
        <w:pStyle w:val="56"/>
        <w:ind w:firstLine="420"/>
        <w:rPr>
          <w:rFonts w:hint="eastAsia" w:ascii="宋体" w:hAnsi="宋体"/>
          <w:szCs w:val="21"/>
        </w:rPr>
      </w:pPr>
      <w:r>
        <w:rPr>
          <w:rFonts w:hint="eastAsia" w:ascii="宋体" w:hAnsi="宋体"/>
          <w:szCs w:val="21"/>
        </w:rPr>
        <w:t xml:space="preserve">        suggestion = "关联性较低，需进一步验证"</w:t>
      </w:r>
    </w:p>
    <w:p w14:paraId="76C8B87D">
      <w:pPr>
        <w:pStyle w:val="56"/>
        <w:ind w:firstLine="420"/>
        <w:rPr>
          <w:rFonts w:ascii="宋体" w:hAnsi="宋体"/>
          <w:szCs w:val="21"/>
        </w:rPr>
      </w:pPr>
      <w:r>
        <w:rPr>
          <w:rFonts w:ascii="宋体" w:hAnsi="宋体"/>
          <w:szCs w:val="21"/>
        </w:rPr>
        <w:t xml:space="preserve">    else:</w:t>
      </w:r>
    </w:p>
    <w:p w14:paraId="254F0D8B">
      <w:pPr>
        <w:pStyle w:val="56"/>
        <w:ind w:firstLine="420"/>
        <w:rPr>
          <w:rFonts w:hint="eastAsia" w:ascii="宋体" w:hAnsi="宋体"/>
          <w:szCs w:val="21"/>
        </w:rPr>
      </w:pPr>
      <w:r>
        <w:rPr>
          <w:rFonts w:hint="eastAsia" w:ascii="宋体" w:hAnsi="宋体"/>
          <w:szCs w:val="21"/>
        </w:rPr>
        <w:t xml:space="preserve">        suggestion = "暂不提示与感染相关，建议排除污染因素后复查"</w:t>
      </w:r>
    </w:p>
    <w:p w14:paraId="49E26B84">
      <w:pPr>
        <w:pStyle w:val="56"/>
        <w:ind w:firstLine="420"/>
        <w:rPr>
          <w:rFonts w:hint="eastAsia" w:ascii="宋体" w:hAnsi="宋体"/>
          <w:szCs w:val="21"/>
        </w:rPr>
      </w:pPr>
      <w:r>
        <w:rPr>
          <w:rFonts w:hint="eastAsia" w:ascii="宋体" w:hAnsi="宋体"/>
          <w:szCs w:val="21"/>
        </w:rPr>
        <w:t xml:space="preserve">    # 保存结果</w:t>
      </w:r>
    </w:p>
    <w:p w14:paraId="30964D5C">
      <w:pPr>
        <w:pStyle w:val="56"/>
        <w:ind w:firstLine="420"/>
        <w:rPr>
          <w:rFonts w:ascii="宋体" w:hAnsi="宋体"/>
          <w:szCs w:val="21"/>
        </w:rPr>
      </w:pPr>
      <w:r>
        <w:rPr>
          <w:rFonts w:ascii="宋体" w:hAnsi="宋体"/>
          <w:szCs w:val="21"/>
        </w:rPr>
        <w:t xml:space="preserve">    results.append([row["species"], row["taxid"], row["unique_reads"], f"{row['base_coverage']:.0%}", f"{row['seq_coverage']:.0%}", f"{npa_case:.2e}", f"{npas:.2f}", suggestion])</w:t>
      </w:r>
    </w:p>
    <w:p w14:paraId="3E011679">
      <w:pPr>
        <w:pStyle w:val="56"/>
        <w:ind w:firstLine="420"/>
        <w:rPr>
          <w:rFonts w:ascii="宋体" w:hAnsi="宋体"/>
          <w:szCs w:val="21"/>
        </w:rPr>
      </w:pPr>
    </w:p>
    <w:p w14:paraId="514516AA">
      <w:pPr>
        <w:pStyle w:val="56"/>
        <w:ind w:firstLine="420"/>
        <w:rPr>
          <w:rFonts w:hint="eastAsia" w:ascii="宋体" w:hAnsi="宋体"/>
          <w:szCs w:val="21"/>
        </w:rPr>
      </w:pPr>
      <w:r>
        <w:rPr>
          <w:rFonts w:hint="eastAsia" w:ascii="宋体" w:hAnsi="宋体"/>
          <w:szCs w:val="21"/>
        </w:rPr>
        <w:t># 输出结果表</w:t>
      </w:r>
    </w:p>
    <w:p w14:paraId="3EE25A3C">
      <w:pPr>
        <w:pStyle w:val="56"/>
        <w:ind w:firstLine="420"/>
        <w:rPr>
          <w:rFonts w:hint="eastAsia" w:ascii="宋体" w:hAnsi="宋体"/>
          <w:szCs w:val="21"/>
        </w:rPr>
      </w:pPr>
      <w:r>
        <w:rPr>
          <w:rFonts w:hint="eastAsia" w:ascii="宋体" w:hAnsi="宋体"/>
          <w:szCs w:val="21"/>
        </w:rPr>
        <w:t>results_df = pd.DataFrame(results, columns=["物种名", "TaxID", "unique reads数", "碱基覆盖度", "序列覆盖度", "NPA值", "NPAS值", "处置建议"])</w:t>
      </w:r>
    </w:p>
    <w:p w14:paraId="3E2BCECA">
      <w:pPr>
        <w:pStyle w:val="56"/>
        <w:ind w:firstLine="420"/>
        <w:rPr>
          <w:rFonts w:ascii="宋体" w:hAnsi="宋体"/>
          <w:szCs w:val="21"/>
        </w:rPr>
      </w:pPr>
      <w:r>
        <w:rPr>
          <w:rFonts w:ascii="宋体" w:hAnsi="宋体"/>
          <w:szCs w:val="21"/>
        </w:rPr>
        <w:t>results_df.to_excel("hpd_kit_results.xlsx", index=False)</w:t>
      </w:r>
    </w:p>
    <w:p w14:paraId="7C71282A">
      <w:pPr>
        <w:pStyle w:val="56"/>
        <w:ind w:firstLine="420"/>
        <w:rPr>
          <w:rFonts w:ascii="宋体" w:hAnsi="宋体"/>
          <w:szCs w:val="21"/>
        </w:rPr>
      </w:pPr>
      <w:r>
        <w:rPr>
          <w:rFonts w:hint="eastAsia" w:ascii="宋体" w:hAnsi="宋体"/>
          <w:szCs w:val="21"/>
        </w:rPr>
        <w:t>print("结果已保存至hpd_kit_results.xlsx")</w:t>
      </w:r>
    </w:p>
    <w:p w14:paraId="6352B5EF">
      <w:pPr>
        <w:pStyle w:val="56"/>
        <w:ind w:firstLine="420"/>
      </w:pPr>
    </w:p>
    <w:bookmarkEnd w:id="56"/>
    <w:p w14:paraId="13745DF8">
      <w:pPr>
        <w:pStyle w:val="56"/>
        <w:ind w:firstLine="420"/>
      </w:pPr>
    </w:p>
    <w:p w14:paraId="56D17534">
      <w:pPr>
        <w:pStyle w:val="56"/>
        <w:ind w:firstLine="0" w:firstLineChars="0"/>
        <w:jc w:val="center"/>
      </w:pPr>
      <w:bookmarkStart w:id="58" w:name="BookMark8"/>
      <w:r>
        <w:drawing>
          <wp:inline distT="0" distB="0" distL="0" distR="0">
            <wp:extent cx="1485900" cy="317500"/>
            <wp:effectExtent l="0" t="0" r="0" b="6350"/>
            <wp:docPr id="399794150" name="图片 1"/>
            <wp:cNvGraphicFramePr/>
            <a:graphic xmlns:a="http://schemas.openxmlformats.org/drawingml/2006/main">
              <a:graphicData uri="http://schemas.openxmlformats.org/drawingml/2006/picture">
                <pic:pic xmlns:pic="http://schemas.openxmlformats.org/drawingml/2006/picture">
                  <pic:nvPicPr>
                    <pic:cNvPr id="399794150" name="图片 1"/>
                    <pic:cNvPicPr/>
                  </pic:nvPicPr>
                  <pic:blipFill>
                    <a:blip r:embed="rId1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8"/>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微软雅黑">
    <w:panose1 w:val="020B0503020204020204"/>
    <w:charset w:val="86"/>
    <w:family w:val="swiss"/>
    <w:pitch w:val="default"/>
    <w:sig w:usb0="80000287" w:usb1="280F3C52" w:usb2="00000016" w:usb3="00000000" w:csb0="0004001F" w:csb1="00000000"/>
  </w:font>
  <w:font w:name="Cambria Math">
    <w:panose1 w:val="02040503050406030204"/>
    <w:charset w:val="00"/>
    <w:family w:val="roman"/>
    <w:pitch w:val="default"/>
    <w:sig w:usb0="A00002EF" w:usb1="420020EB" w:usb2="00000000" w:usb3="00000000" w:csb0="2000009F" w:csb1="00000000"/>
  </w:font>
  <w:font w:name="Segoe UI">
    <w:panose1 w:val="020B0502040204020203"/>
    <w:charset w:val="00"/>
    <w:family w:val="swiss"/>
    <w:pitch w:val="default"/>
    <w:sig w:usb0="E10022FF" w:usb1="C000E47F" w:usb2="00000029" w:usb3="00000000" w:csb0="200001DF" w:csb1="2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8086D">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EDF2B">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8E174">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9C29C">
    <w:pPr>
      <w:pStyle w:val="52"/>
      <w:jc w:val="center"/>
    </w:pPr>
    <w: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44177C5">
                          <w:pPr>
                            <w:pStyle w:val="17"/>
                          </w:pPr>
                          <w:r>
                            <w:rPr>
                              <w:rFonts w:hint="eastAsia" w:hAnsi="宋体" w:cs="宋体"/>
                            </w:rPr>
                            <w:t>Ⅰ</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VZerI4AgAAbwQAAA4AAABkcnMvZTJvRG9jLnhtbK1UzY7TMBC+I/EO&#10;lu80aRGrbt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ToplCw0/fv51+&#10;/Dr9/Equozyt9TNEPVjEhe6t6TA0w73HZWTdVU7FX/Ah8EPc40Vc0QXC46PpZDrN4eLwDQfgZ4/P&#10;rfPhnTCKRKOgDt1LorLDxoc+dAiJ2bRZN1KmDkpN2oJevX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tVl6sjgCAABvBAAADgAAAAAAAAABACAAAAAfAQAAZHJzL2Uyb0RvYy54&#10;bWxQSwUGAAAAAAYABgBZAQAAyQUAAAAA&#10;">
              <v:fill on="f" focussize="0,0"/>
              <v:stroke on="f" weight="0.5pt"/>
              <v:imagedata o:title=""/>
              <o:lock v:ext="edit" aspectratio="f"/>
              <v:textbox inset="0mm,0mm,0mm,0mm" style="mso-fit-shape-to-text:t;">
                <w:txbxContent>
                  <w:p w14:paraId="244177C5">
                    <w:pPr>
                      <w:pStyle w:val="17"/>
                    </w:pPr>
                    <w:r>
                      <w:rPr>
                        <w:rFonts w:hint="eastAsia" w:hAnsi="宋体" w:cs="宋体"/>
                      </w:rPr>
                      <w:t>Ⅰ</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87F6D">
    <w:pPr>
      <w:pStyle w:val="52"/>
    </w:pPr>
    <w:r>
      <w:rPr>
        <w:rFonts w:hint="eastAsia" w:hAnsi="宋体" w:cs="宋体"/>
      </w:rPr>
      <w:t>Ⅱ</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AEA7A">
    <w:pPr>
      <w:pStyle w:val="52"/>
    </w:pPr>
    <w: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0F0BE14">
                          <w:pPr>
                            <w:pStyle w:val="17"/>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qMvz03AgAAb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DajL89NwIAAG8EAAAOAAAAAAAAAAEAIAAAAB8BAABkcnMvZTJvRG9jLnht&#10;bFBLBQYAAAAABgAGAFkBAADIBQAAAAA=&#10;">
              <v:fill on="f" focussize="0,0"/>
              <v:stroke on="f" weight="0.5pt"/>
              <v:imagedata o:title=""/>
              <o:lock v:ext="edit" aspectratio="f"/>
              <v:textbox inset="0mm,0mm,0mm,0mm" style="mso-fit-shape-to-text:t;">
                <w:txbxContent>
                  <w:p w14:paraId="20F0BE14">
                    <w:pPr>
                      <w:pStyle w:val="17"/>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9EDE2A">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182D6">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69D7B">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B1BE69">
    <w:pPr>
      <w:pStyle w:val="61"/>
    </w:pPr>
    <w:r>
      <w:fldChar w:fldCharType="begin"/>
    </w:r>
    <w:r>
      <w:instrText xml:space="preserve"> STYLEREF  标准文件_文件编号  \* MERGEFORMAT </w:instrText>
    </w:r>
    <w:r>
      <w:fldChar w:fldCharType="separate"/>
    </w:r>
    <w:r>
      <w:t>T/GXAS  XXXX—2026</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142"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3401"/>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B67"/>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1F08"/>
    <w:rsid w:val="000A296B"/>
    <w:rsid w:val="000A7311"/>
    <w:rsid w:val="000B060F"/>
    <w:rsid w:val="000B1592"/>
    <w:rsid w:val="000B1FF2"/>
    <w:rsid w:val="000B3CDA"/>
    <w:rsid w:val="000B6A0B"/>
    <w:rsid w:val="000C0F6C"/>
    <w:rsid w:val="000C11DB"/>
    <w:rsid w:val="000C1492"/>
    <w:rsid w:val="000C2FBD"/>
    <w:rsid w:val="000C4B41"/>
    <w:rsid w:val="000C57D6"/>
    <w:rsid w:val="000C5C71"/>
    <w:rsid w:val="000C6362"/>
    <w:rsid w:val="000C7666"/>
    <w:rsid w:val="000D0A9C"/>
    <w:rsid w:val="000D1795"/>
    <w:rsid w:val="000D329A"/>
    <w:rsid w:val="000D4B9C"/>
    <w:rsid w:val="000D4EB6"/>
    <w:rsid w:val="000D69A2"/>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0DA6"/>
    <w:rsid w:val="00141114"/>
    <w:rsid w:val="00142969"/>
    <w:rsid w:val="001446C2"/>
    <w:rsid w:val="001457E7"/>
    <w:rsid w:val="00145D9D"/>
    <w:rsid w:val="00146388"/>
    <w:rsid w:val="001529E5"/>
    <w:rsid w:val="00152FB3"/>
    <w:rsid w:val="00153C7E"/>
    <w:rsid w:val="00156B25"/>
    <w:rsid w:val="00156E1A"/>
    <w:rsid w:val="00157894"/>
    <w:rsid w:val="00157B55"/>
    <w:rsid w:val="00157F17"/>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3ACB"/>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4253"/>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0640"/>
    <w:rsid w:val="002E4D5A"/>
    <w:rsid w:val="002E6326"/>
    <w:rsid w:val="002F30E0"/>
    <w:rsid w:val="002F35E4"/>
    <w:rsid w:val="002F3730"/>
    <w:rsid w:val="002F38E1"/>
    <w:rsid w:val="002F7AF6"/>
    <w:rsid w:val="00300E63"/>
    <w:rsid w:val="003025C5"/>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119A"/>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561"/>
    <w:rsid w:val="00390EE6"/>
    <w:rsid w:val="0039118F"/>
    <w:rsid w:val="0039235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3401"/>
    <w:rsid w:val="00484936"/>
    <w:rsid w:val="00485C89"/>
    <w:rsid w:val="00486BE3"/>
    <w:rsid w:val="004905E4"/>
    <w:rsid w:val="00490A89"/>
    <w:rsid w:val="00490AB4"/>
    <w:rsid w:val="004922EC"/>
    <w:rsid w:val="00492F02"/>
    <w:rsid w:val="004939AE"/>
    <w:rsid w:val="004A12DF"/>
    <w:rsid w:val="004A1BA8"/>
    <w:rsid w:val="004A4B57"/>
    <w:rsid w:val="004A63FA"/>
    <w:rsid w:val="004A6A3D"/>
    <w:rsid w:val="004B0272"/>
    <w:rsid w:val="004B2701"/>
    <w:rsid w:val="004B2E1B"/>
    <w:rsid w:val="004B32E6"/>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4A0"/>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2C7F"/>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9756A"/>
    <w:rsid w:val="005A0966"/>
    <w:rsid w:val="005A11B7"/>
    <w:rsid w:val="005A260B"/>
    <w:rsid w:val="005A4A1B"/>
    <w:rsid w:val="005A7830"/>
    <w:rsid w:val="005A7FCE"/>
    <w:rsid w:val="005B0F3F"/>
    <w:rsid w:val="005B191C"/>
    <w:rsid w:val="005B4903"/>
    <w:rsid w:val="005B51CE"/>
    <w:rsid w:val="005B5885"/>
    <w:rsid w:val="005B5CD7"/>
    <w:rsid w:val="005B66CD"/>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5B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40C2"/>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572AE"/>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1F1F"/>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58AA"/>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7CC"/>
    <w:rsid w:val="008F4C29"/>
    <w:rsid w:val="008F70BD"/>
    <w:rsid w:val="008F788F"/>
    <w:rsid w:val="008F7EA2"/>
    <w:rsid w:val="00902722"/>
    <w:rsid w:val="009027BC"/>
    <w:rsid w:val="009062E6"/>
    <w:rsid w:val="00907445"/>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09D"/>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C61A8"/>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17E64"/>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980"/>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16A8C"/>
    <w:rsid w:val="00C21540"/>
    <w:rsid w:val="00C21906"/>
    <w:rsid w:val="00C21BFA"/>
    <w:rsid w:val="00C227B9"/>
    <w:rsid w:val="00C24809"/>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122B"/>
    <w:rsid w:val="00C6329F"/>
    <w:rsid w:val="00C63340"/>
    <w:rsid w:val="00C643F9"/>
    <w:rsid w:val="00C64E95"/>
    <w:rsid w:val="00C71372"/>
    <w:rsid w:val="00C72410"/>
    <w:rsid w:val="00C7287F"/>
    <w:rsid w:val="00C80CB8"/>
    <w:rsid w:val="00C819F8"/>
    <w:rsid w:val="00C8248C"/>
    <w:rsid w:val="00C84069"/>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8EB"/>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37A53"/>
    <w:rsid w:val="00D4162B"/>
    <w:rsid w:val="00D4514F"/>
    <w:rsid w:val="00D451E2"/>
    <w:rsid w:val="00D45E89"/>
    <w:rsid w:val="00D45E8D"/>
    <w:rsid w:val="00D466AE"/>
    <w:rsid w:val="00D4734F"/>
    <w:rsid w:val="00D51BF3"/>
    <w:rsid w:val="00D6349B"/>
    <w:rsid w:val="00D66846"/>
    <w:rsid w:val="00D675FB"/>
    <w:rsid w:val="00D71F25"/>
    <w:rsid w:val="00D72A9C"/>
    <w:rsid w:val="00D77031"/>
    <w:rsid w:val="00D84941"/>
    <w:rsid w:val="00D84FA1"/>
    <w:rsid w:val="00D851F0"/>
    <w:rsid w:val="00D86DB7"/>
    <w:rsid w:val="00D87B14"/>
    <w:rsid w:val="00D87BF5"/>
    <w:rsid w:val="00D90721"/>
    <w:rsid w:val="00D926D0"/>
    <w:rsid w:val="00D93030"/>
    <w:rsid w:val="00D94855"/>
    <w:rsid w:val="00D950E1"/>
    <w:rsid w:val="00D952A6"/>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5624"/>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5C2"/>
    <w:rsid w:val="00EE0350"/>
    <w:rsid w:val="00EE0719"/>
    <w:rsid w:val="00EE0E80"/>
    <w:rsid w:val="00EE613F"/>
    <w:rsid w:val="00EE7295"/>
    <w:rsid w:val="00EE7869"/>
    <w:rsid w:val="00EF054A"/>
    <w:rsid w:val="00EF3235"/>
    <w:rsid w:val="00EF7076"/>
    <w:rsid w:val="00EF7E72"/>
    <w:rsid w:val="00F06D37"/>
    <w:rsid w:val="00F07B9D"/>
    <w:rsid w:val="00F11586"/>
    <w:rsid w:val="00F1183B"/>
    <w:rsid w:val="00F11C9F"/>
    <w:rsid w:val="00F12263"/>
    <w:rsid w:val="00F1409D"/>
    <w:rsid w:val="00F14214"/>
    <w:rsid w:val="00F157A9"/>
    <w:rsid w:val="00F16F00"/>
    <w:rsid w:val="00F20A87"/>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75C"/>
    <w:rsid w:val="00F72AE7"/>
    <w:rsid w:val="00F7521C"/>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71C2F40"/>
    <w:rsid w:val="13897C90"/>
    <w:rsid w:val="19880D90"/>
    <w:rsid w:val="1D1F3785"/>
    <w:rsid w:val="2640643A"/>
    <w:rsid w:val="2830463C"/>
    <w:rsid w:val="55A8654A"/>
    <w:rsid w:val="661A0861"/>
    <w:rsid w:val="66871873"/>
    <w:rsid w:val="6BE75612"/>
    <w:rsid w:val="7C23124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Char"/>
    <w:link w:val="2"/>
    <w:qFormat/>
    <w:uiPriority w:val="0"/>
    <w:rPr>
      <w:b/>
      <w:bCs/>
      <w:kern w:val="44"/>
      <w:sz w:val="44"/>
      <w:szCs w:val="44"/>
    </w:rPr>
  </w:style>
  <w:style w:type="character" w:customStyle="1" w:styleId="35">
    <w:name w:val="标题 2 Char"/>
    <w:link w:val="3"/>
    <w:qFormat/>
    <w:uiPriority w:val="0"/>
    <w:rPr>
      <w:rFonts w:ascii="Arial" w:hAnsi="Arial" w:eastAsia="黑体"/>
      <w:b/>
      <w:bCs/>
      <w:kern w:val="2"/>
      <w:sz w:val="32"/>
      <w:szCs w:val="32"/>
    </w:rPr>
  </w:style>
  <w:style w:type="character" w:customStyle="1" w:styleId="36">
    <w:name w:val="标题 3 Char"/>
    <w:link w:val="4"/>
    <w:qFormat/>
    <w:uiPriority w:val="0"/>
    <w:rPr>
      <w:b/>
      <w:bCs/>
      <w:kern w:val="2"/>
      <w:sz w:val="32"/>
      <w:szCs w:val="32"/>
    </w:rPr>
  </w:style>
  <w:style w:type="character" w:customStyle="1" w:styleId="37">
    <w:name w:val="标题 4 Char"/>
    <w:link w:val="5"/>
    <w:qFormat/>
    <w:uiPriority w:val="0"/>
    <w:rPr>
      <w:rFonts w:ascii="Arial" w:hAnsi="Arial" w:eastAsia="黑体"/>
      <w:b/>
      <w:bCs/>
      <w:kern w:val="2"/>
      <w:sz w:val="28"/>
      <w:szCs w:val="28"/>
    </w:rPr>
  </w:style>
  <w:style w:type="character" w:customStyle="1" w:styleId="38">
    <w:name w:val="标题 5 Char"/>
    <w:link w:val="6"/>
    <w:qFormat/>
    <w:uiPriority w:val="0"/>
    <w:rPr>
      <w:b/>
      <w:bCs/>
      <w:kern w:val="2"/>
      <w:sz w:val="28"/>
      <w:szCs w:val="28"/>
    </w:rPr>
  </w:style>
  <w:style w:type="character" w:customStyle="1" w:styleId="39">
    <w:name w:val="标题 6 Char"/>
    <w:link w:val="7"/>
    <w:qFormat/>
    <w:uiPriority w:val="0"/>
    <w:rPr>
      <w:rFonts w:ascii="Arial" w:hAnsi="Arial" w:eastAsia="黑体"/>
      <w:b/>
      <w:bCs/>
      <w:kern w:val="2"/>
      <w:sz w:val="24"/>
      <w:szCs w:val="24"/>
    </w:rPr>
  </w:style>
  <w:style w:type="character" w:customStyle="1" w:styleId="40">
    <w:name w:val="标题 7 Char"/>
    <w:link w:val="8"/>
    <w:qFormat/>
    <w:uiPriority w:val="0"/>
    <w:rPr>
      <w:b/>
      <w:bCs/>
      <w:kern w:val="2"/>
      <w:sz w:val="24"/>
      <w:szCs w:val="24"/>
    </w:rPr>
  </w:style>
  <w:style w:type="character" w:customStyle="1" w:styleId="41">
    <w:name w:val="标题 8 Char"/>
    <w:link w:val="9"/>
    <w:qFormat/>
    <w:uiPriority w:val="0"/>
    <w:rPr>
      <w:rFonts w:ascii="Arial" w:hAnsi="Arial" w:eastAsia="黑体"/>
      <w:kern w:val="2"/>
      <w:sz w:val="24"/>
      <w:szCs w:val="24"/>
    </w:rPr>
  </w:style>
  <w:style w:type="character" w:customStyle="1" w:styleId="42">
    <w:name w:val="标题 9 Char"/>
    <w:link w:val="10"/>
    <w:qFormat/>
    <w:uiPriority w:val="0"/>
    <w:rPr>
      <w:rFonts w:ascii="Arial" w:hAnsi="Arial" w:eastAsia="黑体"/>
      <w:kern w:val="2"/>
      <w:sz w:val="21"/>
      <w:szCs w:val="21"/>
    </w:rPr>
  </w:style>
  <w:style w:type="character" w:customStyle="1" w:styleId="43">
    <w:name w:val="页眉 Char"/>
    <w:link w:val="18"/>
    <w:qFormat/>
    <w:uiPriority w:val="99"/>
    <w:rPr>
      <w:kern w:val="2"/>
      <w:sz w:val="18"/>
      <w:szCs w:val="18"/>
    </w:rPr>
  </w:style>
  <w:style w:type="character" w:customStyle="1" w:styleId="44">
    <w:name w:val="页脚 Char"/>
    <w:link w:val="17"/>
    <w:qFormat/>
    <w:uiPriority w:val="99"/>
    <w:rPr>
      <w:rFonts w:ascii="宋体"/>
      <w:kern w:val="2"/>
      <w:sz w:val="18"/>
      <w:szCs w:val="18"/>
    </w:rPr>
  </w:style>
  <w:style w:type="character" w:customStyle="1" w:styleId="45">
    <w:name w:val="批注框文本 Char"/>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Char"/>
    <w:link w:val="46"/>
    <w:qFormat/>
    <w:uiPriority w:val="29"/>
    <w:rPr>
      <w:i/>
      <w:iCs/>
      <w:color w:val="000000"/>
      <w:kern w:val="2"/>
      <w:sz w:val="21"/>
      <w:szCs w:val="21"/>
    </w:rPr>
  </w:style>
  <w:style w:type="character" w:customStyle="1" w:styleId="48">
    <w:name w:val="标题 Char"/>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Lines="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Lines="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Lines="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Lines="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Lines="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Lines="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Lines="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Char"/>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character" w:customStyle="1" w:styleId="99">
    <w:name w:val="脚注文本 Char"/>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Lines="50" w:afterLines="50"/>
      <w:ind w:left="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Lines="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Lines="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Lines="0" w:afterLines="0"/>
      <w:outlineLvl w:val="9"/>
    </w:pPr>
    <w:rPr>
      <w:rFonts w:ascii="宋体" w:eastAsia="宋体"/>
    </w:rPr>
  </w:style>
  <w:style w:type="paragraph" w:customStyle="1" w:styleId="163">
    <w:name w:val="标准文件_五级无标题"/>
    <w:basedOn w:val="103"/>
    <w:qFormat/>
    <w:uiPriority w:val="0"/>
    <w:pPr>
      <w:spacing w:beforeLines="0" w:afterLines="0"/>
      <w:outlineLvl w:val="9"/>
    </w:pPr>
    <w:rPr>
      <w:rFonts w:ascii="宋体" w:eastAsia="宋体"/>
    </w:rPr>
  </w:style>
  <w:style w:type="paragraph" w:customStyle="1" w:styleId="164">
    <w:name w:val="标准文件_三级无标题"/>
    <w:basedOn w:val="94"/>
    <w:qFormat/>
    <w:uiPriority w:val="0"/>
    <w:pPr>
      <w:spacing w:beforeLines="0" w:afterLines="0"/>
      <w:outlineLvl w:val="9"/>
    </w:pPr>
    <w:rPr>
      <w:rFonts w:ascii="宋体" w:eastAsia="宋体"/>
    </w:rPr>
  </w:style>
  <w:style w:type="paragraph" w:customStyle="1" w:styleId="165">
    <w:name w:val="标准文件_二级无标题"/>
    <w:basedOn w:val="65"/>
    <w:qFormat/>
    <w:uiPriority w:val="0"/>
    <w:pPr>
      <w:spacing w:beforeLines="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Lines="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Times New Roman"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style>
  <w:style w:type="paragraph" w:customStyle="1" w:styleId="189">
    <w:name w:val="标准文件_一级项2"/>
    <w:basedOn w:val="56"/>
    <w:qFormat/>
    <w:uiPriority w:val="0"/>
    <w:pPr>
      <w:numPr>
        <w:ilvl w:val="0"/>
        <w:numId w:val="31"/>
      </w:numPr>
      <w:spacing w:line="300" w:lineRule="exact"/>
      <w:ind w:firstLineChars="0"/>
    </w:p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Lines="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Lines="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Lines="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Lines="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Lines="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Lines="0" w:afterLines="0" w:line="276" w:lineRule="auto"/>
      <w:outlineLvl w:val="9"/>
    </w:pPr>
    <w:rPr>
      <w:rFonts w:ascii="宋体" w:eastAsia="宋体"/>
    </w:rPr>
  </w:style>
  <w:style w:type="paragraph" w:customStyle="1" w:styleId="212">
    <w:name w:val="标准文件_附录二级无标题"/>
    <w:basedOn w:val="79"/>
    <w:qFormat/>
    <w:uiPriority w:val="0"/>
    <w:pPr>
      <w:spacing w:beforeLines="0" w:afterLines="0" w:line="276" w:lineRule="auto"/>
      <w:outlineLvl w:val="9"/>
    </w:pPr>
    <w:rPr>
      <w:rFonts w:ascii="宋体" w:eastAsia="宋体"/>
    </w:rPr>
  </w:style>
  <w:style w:type="paragraph" w:customStyle="1" w:styleId="213">
    <w:name w:val="标准文件_附录三级无标题"/>
    <w:basedOn w:val="81"/>
    <w:qFormat/>
    <w:uiPriority w:val="0"/>
    <w:pPr>
      <w:spacing w:beforeLines="0" w:afterLines="0" w:line="276" w:lineRule="auto"/>
      <w:outlineLvl w:val="9"/>
    </w:pPr>
    <w:rPr>
      <w:rFonts w:ascii="宋体" w:eastAsia="宋体"/>
    </w:rPr>
  </w:style>
  <w:style w:type="paragraph" w:customStyle="1" w:styleId="214">
    <w:name w:val="标准文件_附录四级无标题"/>
    <w:basedOn w:val="82"/>
    <w:qFormat/>
    <w:uiPriority w:val="0"/>
    <w:pPr>
      <w:spacing w:beforeLines="0" w:afterLines="0" w:line="276" w:lineRule="auto"/>
      <w:outlineLvl w:val="9"/>
    </w:pPr>
    <w:rPr>
      <w:rFonts w:ascii="宋体" w:eastAsia="宋体"/>
    </w:rPr>
  </w:style>
  <w:style w:type="paragraph" w:customStyle="1" w:styleId="215">
    <w:name w:val="标准文件_附录五级无标题"/>
    <w:basedOn w:val="84"/>
    <w:qFormat/>
    <w:uiPriority w:val="0"/>
    <w:pPr>
      <w:spacing w:beforeLines="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Lines="0" w:afterLines="0" w:line="276" w:lineRule="auto"/>
    </w:pPr>
    <w:rPr>
      <w:rFonts w:ascii="宋体" w:eastAsia="宋体"/>
    </w:rPr>
  </w:style>
  <w:style w:type="paragraph" w:customStyle="1" w:styleId="217">
    <w:name w:val="标准文件_引言二级无标题"/>
    <w:basedOn w:val="201"/>
    <w:next w:val="56"/>
    <w:qFormat/>
    <w:uiPriority w:val="0"/>
    <w:pPr>
      <w:spacing w:beforeLines="0" w:afterLines="0" w:line="276" w:lineRule="auto"/>
    </w:pPr>
    <w:rPr>
      <w:rFonts w:ascii="宋体" w:eastAsia="宋体"/>
    </w:rPr>
  </w:style>
  <w:style w:type="paragraph" w:customStyle="1" w:styleId="218">
    <w:name w:val="标准文件_引言三级无标题"/>
    <w:basedOn w:val="202"/>
    <w:qFormat/>
    <w:uiPriority w:val="0"/>
    <w:pPr>
      <w:spacing w:beforeLines="0" w:afterLines="0" w:line="276" w:lineRule="auto"/>
    </w:pPr>
    <w:rPr>
      <w:rFonts w:ascii="宋体" w:eastAsia="宋体"/>
    </w:rPr>
  </w:style>
  <w:style w:type="paragraph" w:customStyle="1" w:styleId="219">
    <w:name w:val="标准文件_引言四级无标题"/>
    <w:basedOn w:val="203"/>
    <w:next w:val="56"/>
    <w:qFormat/>
    <w:uiPriority w:val="0"/>
    <w:pPr>
      <w:spacing w:beforeLines="0" w:afterLines="0" w:line="276" w:lineRule="auto"/>
    </w:pPr>
    <w:rPr>
      <w:rFonts w:ascii="宋体" w:eastAsia="宋体"/>
    </w:rPr>
  </w:style>
  <w:style w:type="paragraph" w:customStyle="1" w:styleId="220">
    <w:name w:val="标准文件_引言五级无标题"/>
    <w:basedOn w:val="204"/>
    <w:next w:val="56"/>
    <w:qFormat/>
    <w:uiPriority w:val="0"/>
    <w:pPr>
      <w:spacing w:beforeLines="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glossaryDocument" Target="glossary/document.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F202FFC1E3C940B08D47765A1AFC7E04"/>
        <w:style w:val=""/>
        <w:category>
          <w:name w:val="常规"/>
          <w:gallery w:val="placeholder"/>
        </w:category>
        <w:types>
          <w:type w:val="bbPlcHdr"/>
        </w:types>
        <w:behaviors>
          <w:behavior w:val="content"/>
        </w:behaviors>
        <w:description w:val=""/>
        <w:guid w:val="{57575016-2311-47CC-BEFE-4129C549B145}"/>
      </w:docPartPr>
      <w:docPartBody>
        <w:p w14:paraId="7011D160">
          <w:pPr>
            <w:pStyle w:val="5"/>
          </w:pPr>
          <w:r>
            <w:rPr>
              <w:rStyle w:val="4"/>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revisionView w:markup="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
  <w:rsids>
    <w:rsidRoot w:val="005E14BA"/>
    <w:rsid w:val="005E14BA"/>
    <w:rsid w:val="00CC24AC"/>
    <w:rsid w:val="00D7606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F202FFC1E3C940B08D47765A1AFC7E04"/>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70F02DC8AE864A92B6D5E99095213F05"/>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1532307AB8454321B61A2D59123D6241"/>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团体标准.dotx</Template>
  <Company>Microsoft</Company>
  <Pages>16</Pages>
  <Words>5789</Words>
  <Characters>8859</Characters>
  <Lines>80</Lines>
  <Paragraphs>22</Paragraphs>
  <TotalTime>84</TotalTime>
  <ScaleCrop>false</ScaleCrop>
  <LinksUpToDate>false</LinksUpToDate>
  <CharactersWithSpaces>9800</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2026-07-03T06:42:00Z</dcterms:created>
  <dc:creator>Windows 用户</dc:creator>
  <cp:lastModifiedBy>企业用户_190602608</cp:lastModifiedBy>
  <cp:lastPrinted>2021-02-02T08:22:00Z</cp:lastPrinted>
  <dcterms:modified xsi:type="dcterms:W3CDTF">2026-08-18T01:13:31Z</dcterms:modified>
  <cp:revision>179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2052-12.1.0.28043</vt:lpwstr>
  </property>
  <property fmtid="{D5CDD505-2E9C-101B-9397-08002B2CF9AE}" pid="15" name="ICV">
    <vt:lpwstr>CB505F25D36643858DD7CD16833500D9_13</vt:lpwstr>
  </property>
  <property fmtid="{D5CDD505-2E9C-101B-9397-08002B2CF9AE}" pid="16" name="KSOTemplateDocerSaveRecord">
    <vt:lpwstr>eyJoZGlkIjoiNzVhYjg4OTllZmQzNzM4MWQxODhiNjk5YTQ1NzliOGYiLCJ1c2VySWQiOiIxNTE5NzQ3MTY3In0=</vt:lpwstr>
  </property>
</Properties>
</file>